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FB4" w:rsidRDefault="003B6FB4" w:rsidP="003B6FB4">
      <w:pPr>
        <w:pStyle w:val="a3"/>
        <w:spacing w:after="0"/>
        <w:rPr>
          <w:smallCaps/>
          <w:szCs w:val="20"/>
          <w:lang w:val="en-US"/>
        </w:rPr>
      </w:pPr>
    </w:p>
    <w:tbl>
      <w:tblPr>
        <w:tblStyle w:val="TableGrid6"/>
        <w:tblW w:w="13467" w:type="dxa"/>
        <w:tblInd w:w="-5" w:type="dxa"/>
        <w:tblLook w:val="04A0" w:firstRow="1" w:lastRow="0" w:firstColumn="1" w:lastColumn="0" w:noHBand="0" w:noVBand="1"/>
      </w:tblPr>
      <w:tblGrid>
        <w:gridCol w:w="2410"/>
        <w:gridCol w:w="11057"/>
      </w:tblGrid>
      <w:tr w:rsidR="003A0931" w:rsidRPr="00542DB4" w:rsidTr="00706A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1" w:rsidRDefault="003A0931" w:rsidP="00706ABE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Приложение № 4</w:t>
            </w:r>
          </w:p>
          <w:p w:rsidR="003A0931" w:rsidRPr="00542DB4" w:rsidRDefault="003A0931" w:rsidP="00706ABE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bookmarkStart w:id="0" w:name="_GoBack"/>
            <w:r w:rsidRPr="00AE2339">
              <w:rPr>
                <w:rFonts w:ascii="Verdana" w:hAnsi="Verdana"/>
                <w:color w:val="7F7F7F" w:themeColor="text1" w:themeTint="80"/>
                <w:sz w:val="18"/>
                <w:szCs w:val="18"/>
                <w:lang w:val="bg-BG"/>
              </w:rPr>
              <w:t>(</w:t>
            </w:r>
            <w:r>
              <w:rPr>
                <w:rFonts w:ascii="Verdana" w:hAnsi="Verdana"/>
                <w:color w:val="7F7F7F" w:themeColor="text1" w:themeTint="80"/>
                <w:sz w:val="18"/>
                <w:szCs w:val="18"/>
                <w:lang w:val="bg-BG"/>
              </w:rPr>
              <w:t xml:space="preserve">съответстващ на </w:t>
            </w:r>
            <w:r>
              <w:rPr>
                <w:rFonts w:ascii="Verdana" w:hAnsi="Verdana" w:cs="Times New Roman"/>
                <w:color w:val="7F7F7F" w:themeColor="text1" w:themeTint="80"/>
                <w:sz w:val="18"/>
                <w:szCs w:val="18"/>
                <w:lang w:val="bg-BG"/>
              </w:rPr>
              <w:t>Образец № 6</w:t>
            </w:r>
            <w:r w:rsidRPr="00AE2339">
              <w:rPr>
                <w:rFonts w:ascii="Verdana" w:hAnsi="Verdana" w:cs="Times New Roman"/>
                <w:color w:val="7F7F7F" w:themeColor="text1" w:themeTint="80"/>
                <w:sz w:val="18"/>
                <w:szCs w:val="18"/>
                <w:lang w:val="bg-BG"/>
              </w:rPr>
              <w:t>.1 от</w:t>
            </w:r>
            <w:r w:rsidRPr="00AE2339">
              <w:rPr>
                <w:color w:val="7F7F7F" w:themeColor="text1" w:themeTint="80"/>
                <w:sz w:val="18"/>
                <w:szCs w:val="18"/>
              </w:rPr>
              <w:t xml:space="preserve"> </w:t>
            </w:r>
            <w:r w:rsidRPr="00AE2339">
              <w:rPr>
                <w:rFonts w:ascii="Verdana" w:hAnsi="Verdana" w:cs="Times New Roman"/>
                <w:color w:val="7F7F7F" w:themeColor="text1" w:themeTint="80"/>
                <w:sz w:val="18"/>
                <w:szCs w:val="18"/>
                <w:lang w:val="bg-BG"/>
              </w:rPr>
              <w:t>Плана за действие към Националната стратегия за безопасност на движението по пътищата в Република България за периода 2021-2030 г.</w:t>
            </w:r>
            <w:r w:rsidRPr="00AE2339">
              <w:rPr>
                <w:rFonts w:ascii="Verdana" w:hAnsi="Verdana" w:cs="Times New Roman"/>
                <w:color w:val="7F7F7F" w:themeColor="text1" w:themeTint="80"/>
                <w:sz w:val="18"/>
                <w:szCs w:val="18"/>
              </w:rPr>
              <w:t>)</w:t>
            </w:r>
            <w:bookmarkEnd w:id="0"/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1" w:rsidRPr="00712D1B" w:rsidRDefault="003A0931" w:rsidP="00706ABE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12D1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ПРАВИЛНИК ЗА ДЕЙНОСТТА </w:t>
            </w:r>
          </w:p>
          <w:p w:rsidR="003A0931" w:rsidRDefault="003A0931" w:rsidP="00706ABE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712D1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НА ОБЩИНСКА</w:t>
            </w:r>
            <w:r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ТА</w:t>
            </w:r>
            <w:r w:rsidRPr="00712D1B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 xml:space="preserve"> КОМИСИЯ ПО БЕЗОПАСНОСТ НА ДВИЖЕНИЕТО ПО ПЪТИЩАТА</w:t>
            </w:r>
          </w:p>
        </w:tc>
      </w:tr>
      <w:tr w:rsidR="003A0931" w:rsidRPr="00542DB4" w:rsidTr="00706ABE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1" w:rsidRPr="00542DB4" w:rsidRDefault="003A0931" w:rsidP="00706ABE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noProof/>
                <w:lang w:val="bg-BG" w:eastAsia="bg-BG"/>
              </w:rPr>
              <w:drawing>
                <wp:anchor distT="0" distB="0" distL="114300" distR="114300" simplePos="0" relativeHeight="251661312" behindDoc="1" locked="0" layoutInCell="1" allowOverlap="1" wp14:anchorId="7F2F2231" wp14:editId="4E3FC137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71755</wp:posOffset>
                  </wp:positionV>
                  <wp:extent cx="345440" cy="411480"/>
                  <wp:effectExtent l="0" t="0" r="0" b="7620"/>
                  <wp:wrapTight wrapText="bothSides">
                    <wp:wrapPolygon edited="0">
                      <wp:start x="2382" y="0"/>
                      <wp:lineTo x="0" y="1000"/>
                      <wp:lineTo x="0" y="16000"/>
                      <wp:lineTo x="4765" y="21000"/>
                      <wp:lineTo x="5956" y="21000"/>
                      <wp:lineTo x="14294" y="21000"/>
                      <wp:lineTo x="15485" y="21000"/>
                      <wp:lineTo x="20250" y="16000"/>
                      <wp:lineTo x="20250" y="1000"/>
                      <wp:lineTo x="17868" y="0"/>
                      <wp:lineTo x="2382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440" cy="4114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3A0931" w:rsidRPr="00542DB4" w:rsidRDefault="003A0931" w:rsidP="00706ABE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3A0931" w:rsidRPr="00542DB4" w:rsidRDefault="003A0931" w:rsidP="00706ABE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ДАБДП</w:t>
            </w:r>
          </w:p>
          <w:p w:rsidR="003A0931" w:rsidRPr="00542DB4" w:rsidRDefault="003A0931" w:rsidP="00706ABE">
            <w:pPr>
              <w:spacing w:after="80"/>
              <w:contextualSpacing/>
              <w:rPr>
                <w:rFonts w:ascii="Verdana" w:hAnsi="Verdana"/>
                <w:i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  <w:tc>
          <w:tcPr>
            <w:tcW w:w="1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0931" w:rsidRPr="00542DB4" w:rsidRDefault="003A0931" w:rsidP="00706ABE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3A0931" w:rsidRPr="00542DB4" w:rsidRDefault="003A0931" w:rsidP="00706ABE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  <w:p w:rsidR="003A0931" w:rsidRPr="00542DB4" w:rsidRDefault="003A0931" w:rsidP="00706ABE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  <w:r w:rsidRPr="00542DB4"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  <w:t>Безопасна Универсална Мобилност</w:t>
            </w:r>
          </w:p>
          <w:p w:rsidR="003A0931" w:rsidRPr="00542DB4" w:rsidRDefault="003A0931" w:rsidP="00706ABE">
            <w:pPr>
              <w:spacing w:after="80"/>
              <w:contextualSpacing/>
              <w:rPr>
                <w:rFonts w:ascii="Verdana" w:hAnsi="Verdana"/>
                <w:color w:val="808080" w:themeColor="background1" w:themeShade="80"/>
                <w:sz w:val="18"/>
                <w:szCs w:val="20"/>
                <w:lang w:val="bg-BG"/>
              </w:rPr>
            </w:pPr>
          </w:p>
        </w:tc>
      </w:tr>
    </w:tbl>
    <w:p w:rsidR="00542DB4" w:rsidRDefault="00542DB4" w:rsidP="003B6FB4">
      <w:pPr>
        <w:pStyle w:val="a3"/>
        <w:spacing w:after="0"/>
        <w:rPr>
          <w:smallCaps/>
          <w:szCs w:val="20"/>
          <w:lang w:val="en-US"/>
        </w:rPr>
      </w:pP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542DB4">
        <w:rPr>
          <w:rFonts w:ascii="Verdana" w:hAnsi="Verdana"/>
          <w:b/>
          <w:color w:val="FFFFFF" w:themeColor="background1"/>
          <w:sz w:val="32"/>
          <w:lang w:val="bg-BG"/>
        </w:rPr>
        <w:t>ГОДИШЕН ДОКЛАД</w:t>
      </w: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ЗА ИЗПЪЛНЕНИЕ НА ОБ</w:t>
      </w:r>
      <w:r>
        <w:rPr>
          <w:rFonts w:ascii="Verdana" w:hAnsi="Verdana"/>
          <w:b/>
          <w:color w:val="FFFFFF" w:themeColor="background1"/>
          <w:sz w:val="24"/>
          <w:lang w:val="bg-BG"/>
        </w:rPr>
        <w:t>ЩИНСКАТА</w:t>
      </w: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ПОЛИТИКА ПО БДП </w:t>
      </w:r>
    </w:p>
    <w:p w:rsidR="00542DB4" w:rsidRPr="00542DB4" w:rsidRDefault="00542DB4" w:rsidP="00542DB4">
      <w:pPr>
        <w:shd w:val="clear" w:color="auto" w:fill="F55F41"/>
        <w:spacing w:after="0" w:line="240" w:lineRule="auto"/>
        <w:ind w:right="-461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542DB4" w:rsidRDefault="00542DB4" w:rsidP="003B6FB4">
      <w:pPr>
        <w:pStyle w:val="a3"/>
        <w:spacing w:after="0"/>
        <w:rPr>
          <w:smallCaps/>
          <w:szCs w:val="20"/>
          <w:lang w:val="en-US"/>
        </w:rPr>
      </w:pPr>
    </w:p>
    <w:p w:rsidR="0049768E" w:rsidRPr="009E28E9" w:rsidRDefault="00682BDC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Докладът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на об</w:t>
      </w:r>
      <w:r w:rsidR="0049768E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щинско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ниво се разработва на годишна база</w:t>
      </w:r>
      <w:r w:rsidR="00BA5235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, като отразява състоянието на БДП и изпълнението на </w:t>
      </w:r>
      <w:r w:rsidR="0049768E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общинската</w:t>
      </w:r>
      <w:r w:rsidR="00BA5235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политика по БДП към съответната отчетна година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.</w:t>
      </w:r>
      <w:r w:rsidR="00E214A1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</w:p>
    <w:p w:rsidR="00654AF6" w:rsidRPr="009E28E9" w:rsidRDefault="0049768E" w:rsidP="00A15330">
      <w:pPr>
        <w:shd w:val="clear" w:color="auto" w:fill="FFFFFF" w:themeFill="background1"/>
        <w:ind w:right="-35"/>
        <w:jc w:val="both"/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</w:pPr>
      <w:r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Докладът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се представя </w:t>
      </w:r>
      <w:r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от Общината 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на секретариата на ОКБДП в срок до </w:t>
      </w:r>
      <w:r w:rsidR="003E256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15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3E256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февруари</w:t>
      </w:r>
      <w:r w:rsidR="00EF6C12" w:rsidRPr="009E28E9"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на годината, 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следваща отчетната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година,</w:t>
      </w:r>
      <w:r w:rsidR="00EF6C12" w:rsidRPr="009E28E9"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  <w:t xml:space="preserve"> 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с цел включване на 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информацията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в един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ен о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бласт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е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>н</w:t>
      </w:r>
      <w:r w:rsidR="00682BDC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 доклад</w:t>
      </w:r>
      <w:r w:rsidR="00EF6C12" w:rsidRPr="009E28E9">
        <w:rPr>
          <w:rFonts w:ascii="Verdana" w:hAnsi="Verdana"/>
          <w:i/>
          <w:color w:val="404040" w:themeColor="text1" w:themeTint="BF"/>
          <w:sz w:val="20"/>
          <w:szCs w:val="20"/>
          <w:lang w:val="bg-BG"/>
        </w:rPr>
        <w:t xml:space="preserve">. </w:t>
      </w:r>
    </w:p>
    <w:p w:rsidR="0049768E" w:rsidRPr="009E28E9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color w:val="404040" w:themeColor="text1" w:themeTint="BF"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01974" w:rsidRDefault="00401974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9768E" w:rsidRDefault="0049768E" w:rsidP="00E214A1">
      <w:pPr>
        <w:shd w:val="clear" w:color="auto" w:fill="FFFFFF" w:themeFill="background1"/>
        <w:ind w:right="-35"/>
        <w:jc w:val="both"/>
        <w:rPr>
          <w:rFonts w:ascii="Verdana" w:hAnsi="Verdana"/>
          <w:b/>
          <w:i/>
          <w:sz w:val="20"/>
          <w:szCs w:val="20"/>
          <w:lang w:val="bg-BG"/>
        </w:rPr>
      </w:pPr>
    </w:p>
    <w:p w:rsidR="00400067" w:rsidRPr="00542DB4" w:rsidRDefault="00E214A1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  <w:r w:rsidRPr="00E214A1">
        <w:rPr>
          <w:rFonts w:ascii="Verdana" w:hAnsi="Verdana"/>
          <w:b/>
          <w:i/>
          <w:sz w:val="20"/>
          <w:szCs w:val="20"/>
          <w:lang w:val="bg-BG"/>
        </w:rPr>
        <w:t xml:space="preserve"> </w:t>
      </w:r>
    </w:p>
    <w:p w:rsidR="00400067" w:rsidRPr="00542DB4" w:rsidRDefault="00400067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РАЗДЕЛ 1</w:t>
      </w:r>
    </w:p>
    <w:p w:rsidR="00400067" w:rsidRPr="00542DB4" w:rsidRDefault="00400067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24"/>
          <w:lang w:val="bg-BG"/>
        </w:rPr>
        <w:t>ОБЩА ИНФОРМАЦИЯ</w:t>
      </w: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400067" w:rsidRPr="00542DB4" w:rsidRDefault="00400067" w:rsidP="00400067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C27950" w:rsidRPr="00C27950" w:rsidRDefault="00C27950" w:rsidP="00400067">
      <w:pPr>
        <w:shd w:val="clear" w:color="auto" w:fill="FFFFFF" w:themeFill="background1"/>
        <w:rPr>
          <w:rFonts w:ascii="Verdana" w:hAnsi="Verdana"/>
          <w:b/>
          <w:sz w:val="8"/>
          <w:szCs w:val="8"/>
          <w:lang w:val="bg-BG"/>
        </w:rPr>
      </w:pPr>
    </w:p>
    <w:tbl>
      <w:tblPr>
        <w:tblStyle w:val="TableGrid4"/>
        <w:tblW w:w="13036" w:type="dxa"/>
        <w:tblLook w:val="04A0" w:firstRow="1" w:lastRow="0" w:firstColumn="1" w:lastColumn="0" w:noHBand="0" w:noVBand="1"/>
      </w:tblPr>
      <w:tblGrid>
        <w:gridCol w:w="2782"/>
        <w:gridCol w:w="10254"/>
      </w:tblGrid>
      <w:tr w:rsidR="000C4555" w:rsidRPr="000C4555" w:rsidTr="00400067">
        <w:tc>
          <w:tcPr>
            <w:tcW w:w="2782" w:type="dxa"/>
            <w:shd w:val="clear" w:color="auto" w:fill="FFD966" w:themeFill="accent4" w:themeFillTint="99"/>
          </w:tcPr>
          <w:p w:rsidR="000C4555" w:rsidRPr="009E28E9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Об</w:t>
            </w:r>
            <w:r w:rsidR="0049768E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щина</w:t>
            </w: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</w:p>
          <w:p w:rsidR="000C4555" w:rsidRPr="009E28E9" w:rsidRDefault="000C4555" w:rsidP="00C27950">
            <w:pPr>
              <w:ind w:right="-58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CF08F8" w:rsidRPr="009E28E9" w:rsidRDefault="00CF08F8" w:rsidP="00C27950">
            <w:pPr>
              <w:ind w:right="-585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E0A0D" w:rsidRPr="009E28E9" w:rsidRDefault="004E0A0D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</w:tcPr>
          <w:p w:rsidR="00CF08F8" w:rsidRPr="004E0A0D" w:rsidRDefault="00CF08F8" w:rsidP="000C4555">
            <w:pPr>
              <w:rPr>
                <w:rFonts w:ascii="Verdana" w:hAnsi="Verdana"/>
                <w:sz w:val="20"/>
                <w:lang w:val="bg-BG"/>
              </w:rPr>
            </w:pPr>
          </w:p>
        </w:tc>
      </w:tr>
      <w:tr w:rsidR="000C4555" w:rsidRPr="000C4555" w:rsidTr="00400067">
        <w:tc>
          <w:tcPr>
            <w:tcW w:w="2782" w:type="dxa"/>
            <w:shd w:val="clear" w:color="auto" w:fill="FFD966" w:themeFill="accent4" w:themeFillTint="99"/>
          </w:tcPr>
          <w:p w:rsidR="000C4555" w:rsidRPr="009E28E9" w:rsidRDefault="000C4555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Населени места в състава на </w:t>
            </w:r>
            <w:r w:rsidR="0049768E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общината</w:t>
            </w: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</w:p>
          <w:p w:rsidR="0049768E" w:rsidRPr="009E28E9" w:rsidRDefault="0049768E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277C8" w:rsidRPr="009E28E9" w:rsidRDefault="004277C8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277C8" w:rsidRPr="009E28E9" w:rsidRDefault="004277C8" w:rsidP="000C4555">
            <w:pP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10254" w:type="dxa"/>
          </w:tcPr>
          <w:p w:rsidR="000C4555" w:rsidRPr="004E0A0D" w:rsidRDefault="000C4555" w:rsidP="000C4555">
            <w:pPr>
              <w:rPr>
                <w:rFonts w:ascii="Verdana" w:hAnsi="Verdana"/>
                <w:sz w:val="20"/>
                <w:lang w:val="bg-BG"/>
              </w:rPr>
            </w:pPr>
          </w:p>
        </w:tc>
      </w:tr>
    </w:tbl>
    <w:p w:rsidR="000C4555" w:rsidRDefault="000C4555" w:rsidP="000C4555">
      <w:pPr>
        <w:rPr>
          <w:rFonts w:ascii="Verdana" w:hAnsi="Verdana"/>
          <w:sz w:val="8"/>
          <w:szCs w:val="8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РАЗДЕЛ 2</w:t>
      </w:r>
    </w:p>
    <w:p w:rsidR="009E28E9" w:rsidRPr="009E28E9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9E28E9">
        <w:rPr>
          <w:rFonts w:ascii="Verdana" w:hAnsi="Verdana"/>
          <w:b/>
          <w:color w:val="FFFFFF" w:themeColor="background1"/>
          <w:sz w:val="24"/>
          <w:lang w:val="bg-BG"/>
        </w:rPr>
        <w:t xml:space="preserve">СЪСТОЯНИЕ НА ПЪТНАТА И ТРАНСПОРТНАТА ИНФРАСТРУКТУРА </w:t>
      </w: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9E28E9" w:rsidRDefault="009E28E9" w:rsidP="000C4555">
      <w:pPr>
        <w:rPr>
          <w:rFonts w:ascii="Verdana" w:hAnsi="Verdana"/>
          <w:sz w:val="8"/>
          <w:szCs w:val="8"/>
          <w:lang w:val="bg-BG"/>
        </w:rPr>
      </w:pPr>
    </w:p>
    <w:tbl>
      <w:tblPr>
        <w:tblStyle w:val="TableGrid4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0C4555" w:rsidRPr="000C4555" w:rsidTr="006433D9">
        <w:tc>
          <w:tcPr>
            <w:tcW w:w="13036" w:type="dxa"/>
          </w:tcPr>
          <w:p w:rsidR="000C4555" w:rsidRPr="009E28E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.1 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Дължина на общинска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та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  <w:r w:rsidR="00537E40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пътна 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и улична мрежа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</w:rPr>
              <w:t xml:space="preserve"> </w:t>
            </w:r>
          </w:p>
          <w:p w:rsidR="002626F4" w:rsidRPr="009E28E9" w:rsidRDefault="002626F4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</w:rPr>
            </w:pPr>
          </w:p>
          <w:p w:rsidR="002626F4" w:rsidRPr="009E28E9" w:rsidRDefault="002626F4" w:rsidP="002626F4">
            <w:pPr>
              <w:pStyle w:val="a4"/>
              <w:numPr>
                <w:ilvl w:val="0"/>
                <w:numId w:val="18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улици: …………………………….</w:t>
            </w:r>
          </w:p>
          <w:p w:rsidR="002626F4" w:rsidRPr="009E28E9" w:rsidRDefault="002626F4" w:rsidP="0049768E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</w:rPr>
            </w:pPr>
          </w:p>
          <w:p w:rsidR="002626F4" w:rsidRPr="009E28E9" w:rsidRDefault="002626F4" w:rsidP="002626F4">
            <w:pPr>
              <w:pStyle w:val="a4"/>
              <w:numPr>
                <w:ilvl w:val="0"/>
                <w:numId w:val="18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общински пътища: …………………………………</w:t>
            </w:r>
          </w:p>
          <w:p w:rsidR="002626F4" w:rsidRPr="009E28E9" w:rsidRDefault="002626F4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626F4" w:rsidRPr="009E28E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.2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астилк</w:t>
            </w:r>
            <w:r w:rsidR="009D601F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и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:</w:t>
            </w:r>
          </w:p>
          <w:p w:rsidR="002626F4" w:rsidRPr="009E28E9" w:rsidRDefault="002626F4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2626F4" w:rsidRPr="009E28E9" w:rsidRDefault="002626F4" w:rsidP="002626F4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lastRenderedPageBreak/>
              <w:t>Основни видове деформации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 (единични пукнатини, мрежовидни пукнатини, слягания и др.)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от общинските пътища със сериозни деформации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2626F4" w:rsidRPr="009E28E9" w:rsidRDefault="002626F4" w:rsidP="002626F4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2626F4" w:rsidRPr="009E28E9" w:rsidRDefault="002626F4" w:rsidP="002626F4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2626F4" w:rsidRPr="009E28E9" w:rsidRDefault="002626F4" w:rsidP="002626F4">
            <w:pPr>
              <w:ind w:left="46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2626F4" w:rsidRPr="009E28E9" w:rsidRDefault="001D560D" w:rsidP="002626F4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</w:t>
            </w:r>
            <w:r w:rsidR="002626F4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бщо състояние</w:t>
            </w:r>
            <w:r w:rsidR="002626F4"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2626F4" w:rsidRDefault="002626F4" w:rsidP="002626F4">
            <w:pPr>
              <w:ind w:left="106" w:right="182"/>
              <w:rPr>
                <w:rFonts w:ascii="Verdana" w:hAnsi="Verdana"/>
                <w:sz w:val="20"/>
                <w:lang w:val="bg-BG"/>
              </w:rPr>
            </w:pPr>
          </w:p>
          <w:p w:rsidR="002626F4" w:rsidRPr="002626F4" w:rsidRDefault="001D560D" w:rsidP="002626F4">
            <w:pPr>
              <w:ind w:left="106" w:right="182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i/>
                <w:sz w:val="20"/>
                <w:lang w:val="bg-BG"/>
              </w:rPr>
              <w:t>О</w:t>
            </w:r>
            <w:r w:rsidR="002626F4" w:rsidRPr="001D560D">
              <w:rPr>
                <w:rFonts w:ascii="Verdana" w:hAnsi="Verdana"/>
                <w:i/>
                <w:sz w:val="20"/>
                <w:lang w:val="bg-BG"/>
              </w:rPr>
              <w:t>сновни видове деформации</w:t>
            </w:r>
            <w:r w:rsidR="002626F4">
              <w:rPr>
                <w:rFonts w:ascii="Verdana" w:hAnsi="Verdana"/>
                <w:sz w:val="20"/>
                <w:lang w:val="bg-BG"/>
              </w:rPr>
              <w:t>: ……………………………………………</w:t>
            </w:r>
            <w:r>
              <w:rPr>
                <w:rFonts w:ascii="Verdana" w:hAnsi="Verdana"/>
                <w:sz w:val="20"/>
                <w:lang w:val="bg-BG"/>
              </w:rPr>
              <w:t xml:space="preserve"> (единични/мрежовидни пукнатини, слягания и др.)</w:t>
            </w:r>
          </w:p>
          <w:p w:rsidR="002626F4" w:rsidRDefault="002626F4" w:rsidP="002626F4">
            <w:pPr>
              <w:ind w:left="106" w:right="182"/>
              <w:rPr>
                <w:rFonts w:ascii="Verdana" w:hAnsi="Verdana"/>
                <w:sz w:val="20"/>
                <w:lang w:val="bg-BG"/>
              </w:rPr>
            </w:pPr>
          </w:p>
          <w:p w:rsidR="002626F4" w:rsidRPr="002626F4" w:rsidRDefault="001D560D" w:rsidP="002626F4">
            <w:pPr>
              <w:ind w:left="106" w:right="182"/>
              <w:rPr>
                <w:rFonts w:ascii="Verdana" w:hAnsi="Verdana"/>
                <w:sz w:val="20"/>
                <w:lang w:val="bg-BG"/>
              </w:rPr>
            </w:pPr>
            <w:r>
              <w:rPr>
                <w:rFonts w:ascii="Verdana" w:hAnsi="Verdana"/>
                <w:i/>
                <w:sz w:val="20"/>
                <w:lang w:val="bg-BG"/>
              </w:rPr>
              <w:t>П</w:t>
            </w:r>
            <w:r w:rsidR="002626F4" w:rsidRPr="001D560D">
              <w:rPr>
                <w:rFonts w:ascii="Verdana" w:hAnsi="Verdana"/>
                <w:i/>
                <w:sz w:val="20"/>
                <w:lang w:val="bg-BG"/>
              </w:rPr>
              <w:t>роцент</w:t>
            </w:r>
            <w:r w:rsidR="00525B31">
              <w:rPr>
                <w:rFonts w:ascii="Verdana" w:hAnsi="Verdana"/>
                <w:i/>
                <w:sz w:val="20"/>
                <w:lang w:val="bg-BG"/>
              </w:rPr>
              <w:t>ен дял</w:t>
            </w:r>
            <w:r w:rsidR="002626F4" w:rsidRPr="001D560D">
              <w:rPr>
                <w:rFonts w:ascii="Verdana" w:hAnsi="Verdana"/>
                <w:i/>
                <w:sz w:val="20"/>
                <w:lang w:val="bg-BG"/>
              </w:rPr>
              <w:t xml:space="preserve"> от общинските пътища със сериозни деформации</w:t>
            </w:r>
            <w:r w:rsidR="002626F4">
              <w:rPr>
                <w:rFonts w:ascii="Verdana" w:hAnsi="Verdana"/>
                <w:sz w:val="20"/>
                <w:lang w:val="bg-BG"/>
              </w:rPr>
              <w:t>: ……………………………………………………</w:t>
            </w:r>
          </w:p>
          <w:p w:rsidR="002626F4" w:rsidRDefault="002626F4" w:rsidP="002626F4">
            <w:pPr>
              <w:ind w:left="106" w:right="182"/>
              <w:rPr>
                <w:rFonts w:ascii="Verdana" w:hAnsi="Verdana"/>
                <w:i/>
                <w:sz w:val="20"/>
                <w:lang w:val="bg-BG"/>
              </w:rPr>
            </w:pPr>
          </w:p>
          <w:p w:rsidR="0049768E" w:rsidRPr="009E28E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.3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С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игнализация и маркировка</w:t>
            </w:r>
            <w:r w:rsidR="00C758AB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липсваща сигнализация и маркировка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49768E" w:rsidRPr="009E28E9" w:rsidRDefault="0049768E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липсваща сигнализация и маркировка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1D560D" w:rsidRPr="009E28E9" w:rsidRDefault="001D560D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9768E" w:rsidRPr="009E28E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.4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Б</w:t>
            </w:r>
            <w:r w:rsidR="0049768E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анкети </w:t>
            </w:r>
          </w:p>
          <w:p w:rsidR="001D560D" w:rsidRPr="002626F4" w:rsidRDefault="001D560D" w:rsidP="0049768E">
            <w:pPr>
              <w:ind w:left="34" w:right="182"/>
              <w:rPr>
                <w:rFonts w:ascii="Verdana" w:hAnsi="Verdana"/>
                <w:b/>
                <w:color w:val="1F4E79" w:themeColor="accent1" w:themeShade="80"/>
                <w:sz w:val="20"/>
                <w:lang w:val="bg-BG"/>
              </w:rPr>
            </w:pPr>
          </w:p>
          <w:p w:rsidR="001D560D" w:rsidRPr="009E28E9" w:rsidRDefault="001D560D" w:rsidP="001D560D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улици: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 банкети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1D560D" w:rsidRPr="009E28E9" w:rsidRDefault="001D560D" w:rsidP="001D560D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lastRenderedPageBreak/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 банкети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1D560D" w:rsidRPr="009E28E9" w:rsidRDefault="001D560D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49768E" w:rsidRPr="009E28E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.5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граничителни системи </w:t>
            </w:r>
          </w:p>
          <w:p w:rsidR="001D560D" w:rsidRPr="009E28E9" w:rsidRDefault="001D560D" w:rsidP="0049768E">
            <w:pPr>
              <w:ind w:left="34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ограничителни системи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1D560D" w:rsidRPr="009E28E9" w:rsidRDefault="001D560D" w:rsidP="001D560D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pStyle w:val="a4"/>
              <w:numPr>
                <w:ilvl w:val="0"/>
                <w:numId w:val="17"/>
              </w:numPr>
              <w:ind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по общински пътища: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Общо състояние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…………………………………………………………………………………..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Основни видове несъответствия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: …………………………………………… </w:t>
            </w: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1D560D" w:rsidRPr="009E28E9" w:rsidRDefault="001D560D" w:rsidP="001D560D">
            <w:pPr>
              <w:ind w:left="106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Процент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>ен дял</w:t>
            </w:r>
            <w:r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липсващи</w:t>
            </w:r>
            <w:r w:rsidR="00525B31" w:rsidRPr="009E28E9">
              <w:rPr>
                <w:rFonts w:ascii="Verdana" w:hAnsi="Verdana"/>
                <w:i/>
                <w:color w:val="404040" w:themeColor="text1" w:themeTint="BF"/>
                <w:sz w:val="20"/>
                <w:lang w:val="bg-BG"/>
              </w:rPr>
              <w:t xml:space="preserve"> ограничителни системи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: ……………………………………………………</w:t>
            </w:r>
          </w:p>
          <w:p w:rsidR="001D560D" w:rsidRPr="009E28E9" w:rsidRDefault="001D560D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FA104F" w:rsidRPr="009E28E9" w:rsidRDefault="00FA104F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C4555" w:rsidRPr="009E28E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.6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К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ръстовища, пешеходни пътеки, спирки на градския транспорт, подлези и надлези</w:t>
            </w:r>
            <w:r w:rsidR="00C211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и светофар</w:t>
            </w:r>
            <w:r w:rsidR="00B2773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ни уредби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49768E" w:rsidRPr="009E28E9" w:rsidRDefault="0049768E" w:rsidP="0049768E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49768E" w:rsidRPr="009E28E9" w:rsidRDefault="0049768E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C4555" w:rsidRPr="009E28E9" w:rsidRDefault="00862D55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.7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В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елоалеи </w:t>
            </w:r>
          </w:p>
          <w:p w:rsidR="0049768E" w:rsidRPr="009E28E9" w:rsidRDefault="0049768E" w:rsidP="0049768E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C86427" w:rsidRPr="009E28E9" w:rsidRDefault="00C86427" w:rsidP="0049768E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C4555" w:rsidRPr="009E28E9" w:rsidRDefault="00862D55" w:rsidP="0049768E">
            <w:pPr>
              <w:ind w:left="34" w:right="182"/>
              <w:rPr>
                <w:rFonts w:ascii="Verdana" w:hAnsi="Verdana"/>
                <w:b/>
                <w:i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.8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П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рилежаща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инфраструктура 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около учебни заведения и детски градини </w:t>
            </w:r>
            <w:r w:rsidR="00E16F4B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от гледна точка на безопасността 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(места за пресичане и паркиране</w:t>
            </w:r>
            <w:r w:rsidR="00C864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,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предпазни огради</w:t>
            </w:r>
            <w:r w:rsidR="00C864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,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ограничения на скоростта</w:t>
            </w:r>
            <w:r w:rsidR="00C864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,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 осветеност) </w:t>
            </w:r>
            <w:r w:rsidR="000C4555" w:rsidRPr="009E28E9">
              <w:rPr>
                <w:rFonts w:ascii="Verdana" w:hAnsi="Verdana"/>
                <w:b/>
                <w:i/>
                <w:color w:val="404040" w:themeColor="text1" w:themeTint="BF"/>
                <w:sz w:val="20"/>
                <w:lang w:val="bg-BG"/>
              </w:rPr>
              <w:t xml:space="preserve"> </w:t>
            </w:r>
          </w:p>
          <w:p w:rsidR="00C86427" w:rsidRPr="009E28E9" w:rsidRDefault="00C86427" w:rsidP="00C86427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C86427" w:rsidRPr="00A6658E" w:rsidRDefault="00C86427" w:rsidP="00C86427">
            <w:pPr>
              <w:ind w:left="34" w:right="182"/>
              <w:rPr>
                <w:rFonts w:ascii="Verdana" w:hAnsi="Verdana"/>
                <w:sz w:val="20"/>
                <w:lang w:val="bg-BG"/>
              </w:rPr>
            </w:pPr>
          </w:p>
          <w:p w:rsidR="000C4555" w:rsidRPr="009E28E9" w:rsidRDefault="00862D55" w:rsidP="0049768E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.9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А</w:t>
            </w:r>
            <w:r w:rsidR="000C45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втогари, ж.п. гари и прилежащата към тях инфраструктура </w:t>
            </w:r>
          </w:p>
          <w:p w:rsidR="00C86427" w:rsidRPr="009E28E9" w:rsidRDefault="00C86427" w:rsidP="00C86427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C86427" w:rsidRPr="009E28E9" w:rsidRDefault="00C86427" w:rsidP="00C86427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B27737" w:rsidRPr="009E28E9" w:rsidRDefault="00B27737" w:rsidP="00C86427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  <w:p w:rsidR="00C86427" w:rsidRPr="009E28E9" w:rsidRDefault="00862D55" w:rsidP="00C86427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2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.10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О</w:t>
            </w:r>
            <w:r w:rsidR="00C864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бществен транспорт (наличие, средна възраст, географско покритие, свързаност) </w:t>
            </w:r>
          </w:p>
          <w:p w:rsidR="00C86427" w:rsidRPr="009E28E9" w:rsidRDefault="00C86427" w:rsidP="00C86427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C86427" w:rsidRPr="009E28E9" w:rsidRDefault="00C86427" w:rsidP="00C86427">
            <w:pPr>
              <w:ind w:left="34" w:right="182"/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</w:pPr>
          </w:p>
          <w:p w:rsidR="000C4555" w:rsidRPr="009E28E9" w:rsidRDefault="00862D55" w:rsidP="002626F4">
            <w:pPr>
              <w:ind w:left="34" w:right="182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lastRenderedPageBreak/>
              <w:t>2</w:t>
            </w:r>
            <w:r w:rsidR="00016055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.11 </w:t>
            </w:r>
            <w:r w:rsidR="002626F4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>А</w:t>
            </w:r>
            <w:r w:rsidR="00C86427" w:rsidRPr="009E28E9">
              <w:rPr>
                <w:rFonts w:ascii="Verdana" w:hAnsi="Verdana"/>
                <w:b/>
                <w:color w:val="404040" w:themeColor="text1" w:themeTint="BF"/>
                <w:sz w:val="20"/>
                <w:lang w:val="bg-BG"/>
              </w:rPr>
              <w:t xml:space="preserve">втобуси, извършващи транспорт в системата на училищното и предучилищното образование (брой, средна възраст и техническо състояние)  </w:t>
            </w:r>
            <w:r w:rsidR="00C86427" w:rsidRPr="009E28E9">
              <w:rPr>
                <w:rFonts w:ascii="Verdana" w:hAnsi="Verdana"/>
                <w:color w:val="404040" w:themeColor="text1" w:themeTint="BF"/>
                <w:sz w:val="20"/>
              </w:rPr>
              <w:t>………………………………………………………………………………………………………</w:t>
            </w:r>
            <w:r w:rsidR="00C86427" w:rsidRPr="009E28E9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…………………………………………………………………………………………….</w:t>
            </w:r>
          </w:p>
          <w:p w:rsidR="00FA104F" w:rsidRPr="000C4555" w:rsidRDefault="00FA104F" w:rsidP="002626F4">
            <w:pPr>
              <w:ind w:left="34" w:right="182"/>
              <w:rPr>
                <w:rFonts w:ascii="Verdana" w:hAnsi="Verdana"/>
                <w:i/>
                <w:sz w:val="20"/>
                <w:lang w:val="bg-BG"/>
              </w:rPr>
            </w:pPr>
          </w:p>
        </w:tc>
      </w:tr>
    </w:tbl>
    <w:p w:rsidR="00DF643C" w:rsidRPr="00F02F92" w:rsidRDefault="00DF643C" w:rsidP="00DF643C">
      <w:pPr>
        <w:shd w:val="clear" w:color="auto" w:fill="FFFFFF" w:themeFill="background1"/>
        <w:rPr>
          <w:rFonts w:ascii="Verdana" w:hAnsi="Verdana"/>
          <w:b/>
          <w:color w:val="FFFFFF" w:themeColor="background1"/>
          <w:sz w:val="8"/>
          <w:szCs w:val="8"/>
          <w:lang w:val="bg-BG"/>
        </w:rPr>
      </w:pPr>
    </w:p>
    <w:p w:rsidR="00F02F92" w:rsidRPr="00AE1E0D" w:rsidRDefault="00A249F7" w:rsidP="00AE1E0D">
      <w:pPr>
        <w:shd w:val="clear" w:color="auto" w:fill="2F5496" w:themeFill="accent5" w:themeFillShade="BF"/>
        <w:rPr>
          <w:rFonts w:ascii="Verdana" w:hAnsi="Verdana"/>
          <w:i/>
          <w:color w:val="FFFFFF" w:themeColor="background1"/>
          <w:sz w:val="20"/>
          <w:lang w:val="bg-BG"/>
        </w:rPr>
      </w:pPr>
      <w:r w:rsidRPr="00AE1E0D">
        <w:rPr>
          <w:rFonts w:ascii="Verdana" w:hAnsi="Verdana"/>
          <w:b/>
          <w:color w:val="FFFFFF" w:themeColor="background1"/>
          <w:sz w:val="20"/>
          <w:lang w:val="bg-BG"/>
        </w:rPr>
        <w:t xml:space="preserve">Забележка: </w:t>
      </w:r>
      <w:r w:rsidR="00AE1E0D" w:rsidRPr="00AE1E0D">
        <w:rPr>
          <w:rFonts w:ascii="Verdana" w:hAnsi="Verdana"/>
          <w:i/>
          <w:color w:val="FFFFFF" w:themeColor="background1"/>
          <w:sz w:val="20"/>
          <w:lang w:val="bg-BG"/>
        </w:rPr>
        <w:t>За целите на представянето на информацията по т.</w:t>
      </w:r>
      <w:r w:rsidR="00217CC5">
        <w:rPr>
          <w:rFonts w:ascii="Verdana" w:hAnsi="Verdana"/>
          <w:i/>
          <w:color w:val="FFFFFF" w:themeColor="background1"/>
          <w:sz w:val="20"/>
          <w:lang w:val="bg-BG"/>
        </w:rPr>
        <w:t xml:space="preserve"> 2</w:t>
      </w:r>
      <w:r w:rsidR="00AE1E0D" w:rsidRPr="00AE1E0D">
        <w:rPr>
          <w:rFonts w:ascii="Verdana" w:hAnsi="Verdana"/>
          <w:i/>
          <w:color w:val="FFFFFF" w:themeColor="background1"/>
          <w:sz w:val="20"/>
          <w:lang w:val="bg-BG"/>
        </w:rPr>
        <w:t>.1-</w:t>
      </w:r>
      <w:r w:rsidR="00217CC5">
        <w:rPr>
          <w:rFonts w:ascii="Verdana" w:hAnsi="Verdana"/>
          <w:i/>
          <w:color w:val="FFFFFF" w:themeColor="background1"/>
          <w:sz w:val="20"/>
          <w:lang w:val="bg-BG"/>
        </w:rPr>
        <w:t>2</w:t>
      </w:r>
      <w:r w:rsidR="00AE1E0D" w:rsidRPr="00AE1E0D">
        <w:rPr>
          <w:rFonts w:ascii="Verdana" w:hAnsi="Verdana"/>
          <w:i/>
          <w:color w:val="FFFFFF" w:themeColor="background1"/>
          <w:sz w:val="20"/>
          <w:lang w:val="bg-BG"/>
        </w:rPr>
        <w:t>.11 общините следва да попълнят онлайн въпросник, приложение към настоящия образец.</w:t>
      </w:r>
      <w:r w:rsidR="00F02F92">
        <w:rPr>
          <w:rFonts w:ascii="Verdana" w:hAnsi="Verdana"/>
          <w:i/>
          <w:color w:val="FFFFFF" w:themeColor="background1"/>
          <w:sz w:val="20"/>
          <w:lang w:val="bg-BG"/>
        </w:rPr>
        <w:t xml:space="preserve"> В допълнение</w:t>
      </w:r>
      <w:r w:rsidR="008E1C61">
        <w:rPr>
          <w:rFonts w:ascii="Verdana" w:hAnsi="Verdana"/>
          <w:i/>
          <w:color w:val="FFFFFF" w:themeColor="background1"/>
          <w:sz w:val="20"/>
          <w:lang w:val="bg-BG"/>
        </w:rPr>
        <w:t>, към края на отчетния годишен период</w:t>
      </w:r>
      <w:r w:rsidR="00F02F92">
        <w:rPr>
          <w:rFonts w:ascii="Verdana" w:hAnsi="Verdana"/>
          <w:i/>
          <w:color w:val="FFFFFF" w:themeColor="background1"/>
          <w:sz w:val="20"/>
          <w:lang w:val="bg-BG"/>
        </w:rPr>
        <w:t xml:space="preserve"> ДАБДП ще предоставя линк за достъп до онлайн въпросника.</w:t>
      </w:r>
    </w:p>
    <w:p w:rsidR="006D226D" w:rsidRDefault="006D226D" w:rsidP="00DF643C">
      <w:pPr>
        <w:shd w:val="clear" w:color="auto" w:fill="FFFFFF" w:themeFill="background1"/>
        <w:rPr>
          <w:rFonts w:ascii="Verdana" w:hAnsi="Verdana"/>
          <w:b/>
          <w:color w:val="FFFFFF" w:themeColor="background1"/>
          <w:sz w:val="20"/>
          <w:lang w:val="bg-BG"/>
        </w:rPr>
      </w:pPr>
    </w:p>
    <w:p w:rsidR="009E28E9" w:rsidRDefault="009E28E9" w:rsidP="009E28E9">
      <w:pPr>
        <w:rPr>
          <w:rFonts w:ascii="Verdana" w:hAnsi="Verdana"/>
          <w:sz w:val="8"/>
          <w:szCs w:val="8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>РАЗДЕЛ 3</w:t>
      </w:r>
    </w:p>
    <w:p w:rsidR="009E28E9" w:rsidRPr="009E28E9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9E28E9">
        <w:rPr>
          <w:rFonts w:ascii="Verdana" w:hAnsi="Verdana"/>
          <w:b/>
          <w:color w:val="FFFFFF" w:themeColor="background1"/>
          <w:sz w:val="24"/>
          <w:lang w:val="bg-BG"/>
        </w:rPr>
        <w:t>ГОДИШНО ИЗПЪЛНЕНИЕ НА ОБЩИНСКАТА ПЛАН-ПРОГРАМА</w:t>
      </w:r>
    </w:p>
    <w:p w:rsidR="009E28E9" w:rsidRPr="00542DB4" w:rsidRDefault="009E28E9" w:rsidP="009E28E9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0C4555" w:rsidRDefault="000C4555" w:rsidP="00C91450">
      <w:pPr>
        <w:rPr>
          <w:rFonts w:ascii="Verdana" w:hAnsi="Verdana"/>
          <w:b/>
          <w:sz w:val="8"/>
          <w:szCs w:val="8"/>
          <w:lang w:val="bg-BG"/>
        </w:rPr>
      </w:pPr>
    </w:p>
    <w:tbl>
      <w:tblPr>
        <w:tblStyle w:val="TableGrid5"/>
        <w:tblW w:w="1304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245"/>
        <w:gridCol w:w="7796"/>
      </w:tblGrid>
      <w:tr w:rsidR="00C91450" w:rsidTr="00E8431B">
        <w:trPr>
          <w:trHeight w:val="29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450" w:rsidRDefault="00C91450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5E3690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 xml:space="preserve">Мярка </w:t>
            </w:r>
          </w:p>
          <w:p w:rsidR="00F26AAE" w:rsidRDefault="00F26AAE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</w:p>
          <w:p w:rsidR="00F26AAE" w:rsidRPr="00F26AAE" w:rsidRDefault="00F26AAE" w:rsidP="008A6CEA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1450" w:rsidRPr="005E3690" w:rsidRDefault="00C91450" w:rsidP="00C91450">
            <w:pPr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</w:pPr>
            <w:r w:rsidRPr="005E3690">
              <w:rPr>
                <w:rFonts w:ascii="Verdana" w:eastAsia="Calibri" w:hAnsi="Verdana" w:cs="Times New Roman"/>
                <w:b/>
                <w:bCs/>
                <w:color w:val="262626" w:themeColor="text1" w:themeTint="D9"/>
                <w:sz w:val="20"/>
                <w:szCs w:val="20"/>
                <w:lang w:val="bg-BG"/>
              </w:rPr>
              <w:t>Докладване на изпълнението на мярката</w:t>
            </w:r>
          </w:p>
          <w:p w:rsidR="00272BB9" w:rsidRPr="005E3690" w:rsidRDefault="00272BB9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  <w:p w:rsidR="003E5E42" w:rsidRDefault="003E5E42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М</w:t>
            </w:r>
            <w:r w:rsidR="00821484"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оля опишете </w:t>
            </w:r>
            <w:r w:rsidR="00272BB9"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как </w:t>
            </w: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са</w:t>
            </w:r>
            <w:r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 изпълнен</w:t>
            </w: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и</w:t>
            </w:r>
            <w:r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 </w:t>
            </w:r>
            <w:r w:rsidR="00272BB9"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м</w:t>
            </w: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ерките. </w:t>
            </w:r>
          </w:p>
          <w:p w:rsidR="003E5E42" w:rsidRDefault="003E5E42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  <w:p w:rsidR="003E5E42" w:rsidRDefault="003E5E42" w:rsidP="00C91450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А</w:t>
            </w:r>
            <w:r w:rsidR="00272BB9"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ко </w:t>
            </w: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 xml:space="preserve">дадена </w:t>
            </w:r>
            <w:r w:rsidR="00272BB9" w:rsidRPr="005E3690"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мярка не е изпълнена, опишете причините за това</w:t>
            </w:r>
            <w: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  <w:t>.</w:t>
            </w:r>
          </w:p>
          <w:p w:rsidR="00821484" w:rsidRPr="005E3690" w:rsidRDefault="00821484" w:rsidP="00F26AAE">
            <w:pPr>
              <w:rPr>
                <w:rFonts w:ascii="Verdana" w:eastAsia="Calibri" w:hAnsi="Verdana" w:cs="Times New Roman"/>
                <w:bCs/>
                <w:i/>
                <w:color w:val="262626" w:themeColor="text1" w:themeTint="D9"/>
                <w:sz w:val="20"/>
                <w:szCs w:val="20"/>
                <w:lang w:val="bg-BG"/>
              </w:rPr>
            </w:pPr>
          </w:p>
        </w:tc>
      </w:tr>
      <w:tr w:rsidR="00AF548F" w:rsidRPr="00AF548F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AF548F" w:rsidRDefault="00AF548F" w:rsidP="00AF548F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ТЕМАТИЧНО НАПРАВЛЕНИЕ 1:</w:t>
            </w: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 </w:t>
            </w: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УПРАВЛЕНИЕ, ОСНОВАНО НА ИНТЕГРИТЕТ</w:t>
            </w:r>
          </w:p>
        </w:tc>
      </w:tr>
      <w:tr w:rsidR="00AF548F" w:rsidRPr="00AF548F" w:rsidTr="00E8431B">
        <w:trPr>
          <w:trHeight w:val="952"/>
        </w:trPr>
        <w:tc>
          <w:tcPr>
            <w:tcW w:w="5245" w:type="dxa"/>
            <w:shd w:val="clear" w:color="auto" w:fill="FFFFFF" w:themeFill="background1"/>
          </w:tcPr>
          <w:p w:rsidR="00AF548F" w:rsidRPr="00AF548F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  <w:p w:rsidR="00AF548F" w:rsidRPr="00AF548F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 Разработване на годишна план-програма за БДП на общинско ниво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Pr="00AF548F" w:rsidRDefault="008F2D75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Изпълнение на годишна план-програма за БДП на общинско ниво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Участие в заседанията на областните комисии по БДП</w:t>
            </w:r>
            <w:r w:rsidRPr="00AF548F">
              <w:t xml:space="preserve"> 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 изпълнение на взетите решения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6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Участие в обучения за ОКБДП и общините, организирани от ДАБДП 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Изпълнение на методически указания на ДАБДП във връзка с политиката по БДП на 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общинско ниво, в изпълнение на националната стратегия и произтичащите от нея документи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1.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8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Докладване на изпълнени мерки по БДП на тримесечна база на заседанията на ОКБДП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Подготовка на информация (Годишен общински доклад) от Общината за целите на годишен областен доклад по БДП на ОКБДП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11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4D1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Наблюдение</w:t>
            </w:r>
            <w:r w:rsidR="004D1F9C" w:rsidRPr="003F4A3A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 оценка на изпълнението на политиката по БДП</w:t>
            </w:r>
            <w:r w:rsidR="004D1F9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общинско ниво (текущ анализ на ефективността – доколко ефективни са изпълняваните мерки по БДП)</w:t>
            </w:r>
          </w:p>
          <w:p w:rsidR="004D1F9C" w:rsidRPr="00AF548F" w:rsidRDefault="004D1F9C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12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Приоритетно предвиждане от общинската администрация и одобряване от общинския съвет на мерки по БДП в годишния общински бюджет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011FA6" w:rsidRPr="00011FA6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Повишаване капацитета на общините за управление на настъпило ПТП (реакция и координация на службите)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Провеждане на обществени консултации по важни теми в областта на БДП, насочени към установяване и отчитане на становищата на гражданското общество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1.1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Обезпечаване на общините с необходимия човешки и технически ресурс за координация на общинската политика по БДП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AF548F" w:rsidRPr="00AF548F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AF548F" w:rsidRDefault="00AF548F" w:rsidP="00AF548F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2:</w:t>
            </w: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>СОЦИАЛНО-ОТГОВОРНО ПОВЕДЕНИЕ: УЧЕНЕ ПРЕЗ ЦЕЛИЯ ЖИВОТ</w:t>
            </w:r>
          </w:p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2.1 О</w:t>
            </w:r>
            <w:r w:rsidRPr="00AF548F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t>бучение на деца и ученици по БДП в системата на образованието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2.2 Организиране и провеждане на извънкласни инициативи по БДП за деца и ученици в системата</w:t>
            </w:r>
            <w:r w:rsidRPr="00AF548F">
              <w:rPr>
                <w:rFonts w:ascii="Verdana" w:eastAsia="Calibri" w:hAnsi="Verdana" w:cs="Times New Roman"/>
                <w:bCs/>
                <w:sz w:val="20"/>
                <w:szCs w:val="20"/>
                <w:lang w:val="bg-BG"/>
              </w:rPr>
              <w:t xml:space="preserve"> 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на образованието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bCs/>
                <w:color w:val="404040"/>
                <w:sz w:val="20"/>
                <w:szCs w:val="20"/>
                <w:lang w:val="bg-BG"/>
              </w:rPr>
              <w:lastRenderedPageBreak/>
              <w:t>2.3 Ограничаване на рисковете от ПТП при осъществяване на организиран превоз на деца, свързан с учебна и/или извънучебна дейност в системата на образованието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 xml:space="preserve">2.4 Провеждане на кампании в областта на БДП, насочени към деца и ученици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6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Организиране и провеждане на превантивни кампании за водачите на ППС с акцент върху превишената/несъобразена скорост, шофирането след употреба на алкохол, наркотични вещества и техните аналози, ползване на предпазни средства, техническата изправност на МПС, поведение на участниците в движението при преминаване на автомобил със специален режим на движение, др.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Прилагане на единна и целенасочена комуникационна и медийна политика в областта на БДП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11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Отбелязване на 29 юни - денят на безопасността на движение по пътищата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12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Отбелязване на Европейската седмица на мобилността, Международния ден за безопасност на движението по пътищата,   Европейския ден без жертви на пътя/EDWARD, Световния ден за възпоменание на жертвите от пътнотранспортни произшествия и др.</w:t>
            </w:r>
          </w:p>
          <w:p w:rsidR="008F2D75" w:rsidRPr="00AF548F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7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13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Рутинно и системно прилагане на комплекс от мерки по БДП спрямо работещите в Общината за предпазването им от ПТП при взаимодействие с пътната система /съгласно разработената от ДАБДП стандартизирана система от мерки/</w:t>
            </w:r>
          </w:p>
          <w:p w:rsidR="008F2D75" w:rsidRPr="00AF548F" w:rsidRDefault="008F2D75" w:rsidP="008F2D75">
            <w:pPr>
              <w:ind w:right="179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AF548F" w:rsidRPr="00AF548F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AF548F" w:rsidRDefault="00AF548F" w:rsidP="00AF548F">
            <w:pPr>
              <w:spacing w:before="80" w:after="80"/>
              <w:ind w:right="-141"/>
              <w:jc w:val="both"/>
              <w:rPr>
                <w:rFonts w:ascii="Times New Roman" w:hAnsi="Times New Roman"/>
                <w:b/>
                <w:szCs w:val="24"/>
                <w:lang w:val="bg-BG"/>
              </w:rPr>
            </w:pP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ТЕМАТИЧНО НАПРАВЛЕНИЕ 4:</w:t>
            </w: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</w:rPr>
              <w:t xml:space="preserve"> </w:t>
            </w: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  <w:lang w:val="bg-BG"/>
              </w:rPr>
              <w:t xml:space="preserve">ЩАДЯЩА </w:t>
            </w:r>
            <w:r w:rsidRPr="00AF548F">
              <w:rPr>
                <w:rFonts w:ascii="Verdana" w:eastAsia="Calibri" w:hAnsi="Verdana" w:cs="Calibri"/>
                <w:b/>
                <w:color w:val="404040"/>
                <w:sz w:val="20"/>
                <w:szCs w:val="20"/>
              </w:rPr>
              <w:t>ПЪТНА ИНФРАСТРУКТУРА</w:t>
            </w:r>
          </w:p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Прилагане на методика за планиране и управление на дейностите по общински пътища и улици, разработена от ДАБДП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4.3 Координация и взаимодействие между стопаните на пътища (общини и ОПУ) с ОДМВР, с цел съвместни действия по подобряване безопасността на пътната инфраструктура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4.4</w:t>
            </w:r>
            <w:r w:rsidRPr="00E8431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62330B" w:rsidRPr="0062330B">
              <w:rPr>
                <w:rFonts w:ascii="Verdana" w:eastAsia="Calibri" w:hAnsi="Verdana" w:cs="Times New Roman"/>
                <w:bCs/>
                <w:color w:val="404040" w:themeColor="text1" w:themeTint="BF"/>
                <w:sz w:val="20"/>
                <w:szCs w:val="20"/>
                <w:lang w:val="bg-BG"/>
              </w:rPr>
              <w:t>Събиране и надграждане на информация в електронна база данни, свързана със състоянието на общинската и улична пътна мрежа от извършвани обходи и огледи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4.5 Докладване и анализ на информация, свързана с пътната безопасност, на заседанията на ОКБДП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tabs>
                <w:tab w:val="left" w:pos="900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4.6 Приоритизиране на целенасочени инвестиции в пътни участъци с най-висока концентрация на ПТП и/или с най-висок потенциал за намаляване на риска от ПТП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AA267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4.7 Информиране на водачите за пътни участъци с висока концентрация на ПТП с всички възможни комуникационни средства и средства за визуализация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AA267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4.8 </w:t>
            </w:r>
            <w:r w:rsidR="0062330B" w:rsidRPr="0062330B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Разработване и изпълнение на планове за устойчива градска мобилност като част от Плановете за интегрирано развитие на общините (ПИРО)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4.9 </w:t>
            </w:r>
            <w:r w:rsidR="0062330B" w:rsidRPr="0062330B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Прилагане на процедури за управление на пътната безопасност в границите на населените места съгласно чл. 36б, ал. 11 от Закона за пътищата (ако е приложимо)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AA267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4.10 </w:t>
            </w:r>
            <w:r w:rsidR="0010025C" w:rsidRPr="001002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Изпълнение/актуализация на генерални планове за организация на движението в населените места (съгласно Наредба № 1 от 17 януари 2001 г. за организиране на движението по пътищата, издадена от </w:t>
            </w:r>
            <w:r w:rsidR="0010025C" w:rsidRPr="0010025C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министъра на регионалното развитие и благоустройството)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4.11 Прилагане на ефективен контрол при управление на договорите за проектиране и строителство, и поддържане на общинската/улична пътна инфраструктура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4.12 Интегриране на 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съвременни технически решения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в областта на пътната безопасност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E90990" w:rsidRPr="00AF548F" w:rsidTr="00E8431B">
        <w:tc>
          <w:tcPr>
            <w:tcW w:w="5245" w:type="dxa"/>
            <w:shd w:val="clear" w:color="auto" w:fill="FFFFFF" w:themeFill="background1"/>
          </w:tcPr>
          <w:p w:rsidR="00E90990" w:rsidRPr="00AF548F" w:rsidRDefault="00E90990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4.13 Бюджетиране на приоритетни мерки за развитие на пътната инфраструктура в годишните бюджетни разчети на АПИ и общините</w:t>
            </w:r>
          </w:p>
        </w:tc>
        <w:tc>
          <w:tcPr>
            <w:tcW w:w="7796" w:type="dxa"/>
            <w:shd w:val="clear" w:color="auto" w:fill="FFFFFF" w:themeFill="background1"/>
          </w:tcPr>
          <w:p w:rsidR="00E90990" w:rsidRDefault="00E90990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D179D9" w:rsidRPr="00D179D9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Извършване на цялостна оценка на транспортно-експлоатационното състояние на пътната мрежа като база за подготовка на инвестиционната програма в частта на пътната инфраструктура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tabs>
                <w:tab w:val="left" w:pos="1104"/>
              </w:tabs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5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Засилване на контрола по изпълнението на договорите за пътно поддържане през зимния сезон (ноември-март)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ab/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6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Координация с ОПУ във връзка с планиране и изпълнение на мерките за развитие на републиканската пътна инфраструктура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4.1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7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Извършване на огледи на състоянието на пътната инфраструктура, преди настъпване на летния сезон и началото на учебната година, преди началото и след края на зимния сезон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24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Текуща актуализация на организацията на движение чрез системи за контрол и управление на трафика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25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Анализ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на конкретни участъци с несъответстваща/повредена сигнализация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E90990">
            <w:pPr>
              <w:spacing w:before="80" w:after="80"/>
              <w:ind w:right="34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lastRenderedPageBreak/>
              <w:t>4.</w:t>
            </w:r>
            <w:r w:rsidR="00E90990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26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Прилагане на решения с ясно разпознаваема от водачите хоризонтална маркировка и вертикална сигнализация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C16702" w:rsidRPr="00AF548F" w:rsidTr="00E8431B">
        <w:tc>
          <w:tcPr>
            <w:tcW w:w="5245" w:type="dxa"/>
            <w:shd w:val="clear" w:color="auto" w:fill="FFFFFF" w:themeFill="background1"/>
          </w:tcPr>
          <w:p w:rsidR="00C16702" w:rsidRDefault="00C16702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4.27 Информиране на водачите за въведени ВОБДП и други ограничения по пътища и улици</w:t>
            </w:r>
          </w:p>
          <w:p w:rsidR="00C16702" w:rsidRPr="00AF548F" w:rsidRDefault="00C16702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C16702" w:rsidRDefault="00C16702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4.2</w:t>
            </w:r>
            <w:r w:rsidR="00C1670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9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Обследване на рискови пътни участъци</w:t>
            </w:r>
          </w:p>
          <w:p w:rsidR="00E90990" w:rsidRPr="00AF548F" w:rsidRDefault="00E90990" w:rsidP="008F2D75">
            <w:pPr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Default="008F2D75" w:rsidP="008F2D75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C1670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30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Обезпечаване на идентифицираните рискови участъци с технически средства за контрол, съгласувано със службите на ОДМВР</w:t>
            </w:r>
          </w:p>
          <w:p w:rsidR="008F2D75" w:rsidRPr="00AF548F" w:rsidRDefault="008F2D75" w:rsidP="008F2D7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hd w:val="clear" w:color="auto" w:fill="FFFFFF" w:themeFill="background1"/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4.</w:t>
            </w:r>
            <w:r w:rsidR="00C16702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>31</w:t>
            </w:r>
            <w:r w:rsidRPr="00AF548F"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  <w:t xml:space="preserve"> Извеждане на транзитните потоци извън населените места за успокояване на движението на входно – изходните артерии, през които преминават транзитно трасета от републиканската пътна мрежа, в т.ч. чрез  изграждане на околовръстни пътища</w:t>
            </w:r>
          </w:p>
          <w:p w:rsidR="008F2D75" w:rsidRPr="00AF548F" w:rsidRDefault="008F2D75" w:rsidP="008F2D75">
            <w:pPr>
              <w:shd w:val="clear" w:color="auto" w:fill="FFFFFF" w:themeFill="background1"/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8F2D75" w:rsidRPr="00AF548F" w:rsidRDefault="008F2D75" w:rsidP="008F2D75">
            <w:pPr>
              <w:shd w:val="clear" w:color="auto" w:fill="FFFFFF" w:themeFill="background1"/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/моля попълнете конкретни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те</w:t>
            </w: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мерки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съгласно предвижданията на областната план-програма</w:t>
            </w: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</w:p>
          <w:p w:rsidR="008F2D75" w:rsidRPr="00AF548F" w:rsidRDefault="008F2D75" w:rsidP="008F2D7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</w:pPr>
            <w:r w:rsidRPr="00AF548F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4.</w:t>
            </w:r>
            <w:r w:rsidR="00C16702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>32</w:t>
            </w:r>
            <w:r w:rsidRPr="00AF548F">
              <w:rPr>
                <w:rFonts w:ascii="Verdana" w:hAnsi="Verdana" w:cstheme="minorHAnsi"/>
                <w:color w:val="404040" w:themeColor="text1" w:themeTint="BF"/>
                <w:sz w:val="20"/>
                <w:szCs w:val="20"/>
                <w:lang w:val="bg-BG"/>
              </w:rPr>
              <w:t xml:space="preserve"> Изграждане на оптимални връзки и висока степен на съответствие между различните видове транспорт</w:t>
            </w:r>
          </w:p>
          <w:p w:rsidR="008F2D75" w:rsidRPr="00AF548F" w:rsidRDefault="008F2D75" w:rsidP="008F2D75">
            <w:pPr>
              <w:rPr>
                <w:rFonts w:ascii="Times New Roman" w:hAnsi="Times New Roman"/>
                <w:b/>
                <w:szCs w:val="24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C16702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33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Подкрепа за алтернативни форми на придвижване </w:t>
            </w:r>
          </w:p>
          <w:p w:rsidR="008F2D75" w:rsidRPr="00AF548F" w:rsidRDefault="008F2D75" w:rsidP="008F2D7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C16702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34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Развитие на обществения транспорт </w:t>
            </w:r>
          </w:p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8F2D75" w:rsidRPr="00AF548F" w:rsidRDefault="008F2D75" w:rsidP="008F2D75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моля попълнете конкретни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те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мерки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съгласно предвижданията на областната план-програма</w:t>
            </w: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</w:p>
          <w:p w:rsidR="008F2D75" w:rsidRPr="00AF548F" w:rsidRDefault="008F2D75" w:rsidP="008F2D7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C16702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C16702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35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Използване на стандартизирани договорни условия и изисквания на възложителя към изпълнителите на строителство на пътна инфраструктура; 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 xml:space="preserve">изискване за внедрена система за управление на безопасността на движението съгласно стандарт БДС ISO 39001:2014 или еквивалентен към изпълнителите на строителство на пътна инфраструктура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</w:t>
            </w:r>
            <w:r w:rsidR="00C16702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36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Изпълнение на проектиране и строително-монтажни работи по пътната инфраструктура </w:t>
            </w:r>
          </w:p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(пътни платна, тротоари, банкети, места за паркиране, подлези и надлези, мостове, спирки на градския транспорт, междублокови пространства, крайпътни пространства и др. - въздействие върху настилки, хоризонтална маркировка и вертикална сигнализация, осветление, ограничителни системи, растителност, поставени рекламни съоръжения и крайпътни обекти, и др.)</w:t>
            </w:r>
          </w:p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8F2D75" w:rsidRPr="00AF548F" w:rsidRDefault="008F2D75" w:rsidP="008F2D75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моля попълнете конкретни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те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мерки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съгласно предвижданията на областната план-програма</w:t>
            </w: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</w:p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tabs>
                <w:tab w:val="left" w:pos="176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C16702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37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Прилагане на мерки за ограничаване на възможностите за движение с високи скорости, в т.ч. въвеждане на 30 км/ч зони</w:t>
            </w:r>
          </w:p>
          <w:p w:rsidR="008F2D75" w:rsidRPr="00AF548F" w:rsidRDefault="008F2D75" w:rsidP="008F2D75">
            <w:pPr>
              <w:spacing w:before="80" w:after="80"/>
              <w:ind w:right="34"/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bg-BG"/>
              </w:rPr>
              <w:t>…………………………………………………………………………</w:t>
            </w:r>
          </w:p>
          <w:p w:rsidR="008F2D75" w:rsidRPr="00AF548F" w:rsidRDefault="008F2D75" w:rsidP="008F2D75">
            <w:pPr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lang w:val="bg-BG"/>
              </w:rPr>
            </w:pP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моля попълнете конкретни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те</w:t>
            </w:r>
            <w:r w:rsidR="00770D15"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мерки</w:t>
            </w:r>
            <w:r w:rsidR="00770D15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 xml:space="preserve"> съгласно предвижданията на областната план-програма</w:t>
            </w:r>
            <w:r w:rsidRPr="00AF548F">
              <w:rPr>
                <w:rFonts w:ascii="Verdana" w:eastAsia="Calibri" w:hAnsi="Verdana" w:cs="Calibri"/>
                <w:i/>
                <w:color w:val="404040"/>
                <w:sz w:val="20"/>
                <w:szCs w:val="20"/>
                <w:highlight w:val="yellow"/>
                <w:lang w:val="bg-BG"/>
              </w:rPr>
              <w:t>/</w:t>
            </w:r>
          </w:p>
          <w:p w:rsidR="008F2D75" w:rsidRPr="00AF548F" w:rsidRDefault="008F2D75" w:rsidP="008F2D75">
            <w:pPr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C16702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C16702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38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Обезпечаване и обезопасяване на пешеходното и велосипедно движение; специално обезпечаване и обезопасяване на зоните на учебни и детски заведения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C16702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4.3</w:t>
            </w:r>
            <w:r w:rsidR="00C16702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9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Възстановяване на пътната инфраструктура след извършени инвестиционни мероприятия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C16702">
            <w:pPr>
              <w:tabs>
                <w:tab w:val="left" w:pos="3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4.</w:t>
            </w:r>
            <w:r w:rsidR="00C16702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40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Освобождаване на пътното платно от спрели и паркирани автомобили по улиците в населените места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C16702">
            <w:pPr>
              <w:tabs>
                <w:tab w:val="left" w:pos="34"/>
              </w:tabs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lastRenderedPageBreak/>
              <w:t>4.</w:t>
            </w:r>
            <w:r w:rsidR="00C16702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41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Въвеждане на системи за дистанционно регулиране на трафика с оглед достъп на екипите на ЦСМП до мястото на настъпил инцидент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AF548F" w:rsidRPr="00AF548F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AF548F" w:rsidRDefault="00AF548F" w:rsidP="00AF548F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ТЕМАТИЧНО НАПРАВЛЕНИЕ 5: ПРЕВОЗН</w:t>
            </w: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 xml:space="preserve">И </w:t>
            </w: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СРЕДСТВ</w:t>
            </w: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  <w:lang w:val="bg-BG"/>
              </w:rPr>
              <w:t>А</w:t>
            </w: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 xml:space="preserve"> В ЗАЩИТА НА ЧОВЕКА</w:t>
            </w:r>
          </w:p>
          <w:p w:rsidR="00AF548F" w:rsidRPr="00AF548F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5.1 Стимулиране употребата на безопасни и екологични автомобили за ползване от физически и юридически лица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8F2D75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5.2 Стимулиране употребата на безопасни, екологични и енергийно ефективни автомобили за обществен транспорт и обслужване на нуждите на общините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C16702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</w:t>
            </w:r>
            <w:r w:rsidR="00C16702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4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Създаване на условия за развитие на зарядна инфраструктура - поетапно изграждане на система от зарядни станции за електромобилите и хибридните автомобили в населените места и извън населените места 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8F2D75" w:rsidRPr="00AF548F" w:rsidTr="00E8431B">
        <w:tc>
          <w:tcPr>
            <w:tcW w:w="5245" w:type="dxa"/>
            <w:shd w:val="clear" w:color="auto" w:fill="FFFFFF" w:themeFill="background1"/>
          </w:tcPr>
          <w:p w:rsidR="008F2D75" w:rsidRPr="00AF548F" w:rsidRDefault="008F2D75" w:rsidP="00C16702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5.</w:t>
            </w:r>
            <w:r w:rsidR="00C16702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>5</w:t>
            </w:r>
            <w:r w:rsidRPr="00AF548F">
              <w:rPr>
                <w:rFonts w:ascii="Verdana" w:hAnsi="Verdana"/>
                <w:color w:val="404040" w:themeColor="text1" w:themeTint="BF"/>
                <w:sz w:val="20"/>
                <w:lang w:val="bg-BG"/>
              </w:rPr>
              <w:t xml:space="preserve"> Създаване на условия за изграждане на услугата споделена мобилност в големите населени места </w:t>
            </w:r>
          </w:p>
        </w:tc>
        <w:tc>
          <w:tcPr>
            <w:tcW w:w="7796" w:type="dxa"/>
            <w:shd w:val="clear" w:color="auto" w:fill="FFFFFF" w:themeFill="background1"/>
          </w:tcPr>
          <w:p w:rsidR="008F2D75" w:rsidRDefault="008F2D75" w:rsidP="008F2D75"/>
        </w:tc>
      </w:tr>
      <w:tr w:rsidR="00AF548F" w:rsidRPr="00AF548F" w:rsidTr="00E8431B">
        <w:tc>
          <w:tcPr>
            <w:tcW w:w="13041" w:type="dxa"/>
            <w:gridSpan w:val="2"/>
            <w:shd w:val="clear" w:color="auto" w:fill="BFBFBF" w:themeFill="background1" w:themeFillShade="BF"/>
          </w:tcPr>
          <w:p w:rsidR="00AF548F" w:rsidRPr="00AF548F" w:rsidRDefault="00AF548F" w:rsidP="00AF548F">
            <w:pPr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</w:pPr>
            <w:r w:rsidRPr="00AF548F">
              <w:rPr>
                <w:rFonts w:ascii="Verdana" w:eastAsia="Calibri" w:hAnsi="Verdana" w:cs="Times New Roman"/>
                <w:b/>
                <w:bCs/>
                <w:color w:val="3B3838"/>
                <w:sz w:val="20"/>
                <w:szCs w:val="20"/>
              </w:rPr>
              <w:t>ТЕМАТИЧНО НАПРАВЛЕНИЕ 6: СПАСИТЕЛНА ВЕРИГА ЗА ОПАЗВАНЕ НА ЖИВОТА</w:t>
            </w:r>
          </w:p>
          <w:p w:rsidR="00AF548F" w:rsidRPr="00AF548F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  <w:tr w:rsidR="00AF548F" w:rsidRPr="00AF548F" w:rsidTr="00E8431B">
        <w:tc>
          <w:tcPr>
            <w:tcW w:w="5245" w:type="dxa"/>
            <w:shd w:val="clear" w:color="auto" w:fill="FFFFFF" w:themeFill="background1"/>
          </w:tcPr>
          <w:p w:rsidR="00AF548F" w:rsidRPr="00AF548F" w:rsidRDefault="00AF548F" w:rsidP="00AF548F">
            <w:pPr>
              <w:spacing w:after="80"/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</w:pPr>
            <w:r w:rsidRPr="00AF548F">
              <w:rPr>
                <w:rFonts w:ascii="Verdana" w:eastAsia="Calibri" w:hAnsi="Verdana" w:cs="Calibri"/>
                <w:color w:val="404040"/>
                <w:sz w:val="20"/>
                <w:szCs w:val="20"/>
                <w:lang w:val="ru-RU"/>
              </w:rPr>
              <w:t xml:space="preserve">6.1 Провеждане на </w:t>
            </w:r>
            <w:r w:rsidRPr="00AF548F">
              <w:rPr>
                <w:rFonts w:ascii="Verdana" w:eastAsia="Calibri" w:hAnsi="Verdana" w:cs="Calibri"/>
                <w:color w:val="404040" w:themeColor="text1" w:themeTint="BF"/>
                <w:sz w:val="20"/>
                <w:szCs w:val="20"/>
                <w:lang w:val="ru-RU"/>
              </w:rPr>
              <w:t>съвместни областни учения за реакция при настъпило ПТП (ОДМВР, ПБЗН, ОПУ, ЦСМП, РЗИ, Областна администрация, Общини, БЧК, ООАА и доброволни формирования)</w:t>
            </w:r>
          </w:p>
          <w:p w:rsidR="00AF548F" w:rsidRPr="00AF548F" w:rsidRDefault="00AF548F" w:rsidP="00AF548F">
            <w:pPr>
              <w:spacing w:after="80"/>
              <w:rPr>
                <w:rFonts w:ascii="Verdana" w:hAnsi="Verdana"/>
                <w:color w:val="404040" w:themeColor="text1" w:themeTint="BF"/>
                <w:sz w:val="20"/>
                <w:lang w:val="bg-BG"/>
              </w:rPr>
            </w:pPr>
          </w:p>
        </w:tc>
        <w:tc>
          <w:tcPr>
            <w:tcW w:w="7796" w:type="dxa"/>
            <w:shd w:val="clear" w:color="auto" w:fill="FFFFFF" w:themeFill="background1"/>
          </w:tcPr>
          <w:p w:rsidR="00AF548F" w:rsidRPr="00AF548F" w:rsidRDefault="00AF548F" w:rsidP="00AF548F">
            <w:pPr>
              <w:rPr>
                <w:rFonts w:ascii="Verdana" w:eastAsia="Calibri" w:hAnsi="Verdana" w:cs="Times New Roman"/>
                <w:bCs/>
                <w:color w:val="3B3838"/>
                <w:sz w:val="20"/>
                <w:szCs w:val="20"/>
                <w:lang w:val="bg-BG"/>
              </w:rPr>
            </w:pPr>
          </w:p>
        </w:tc>
      </w:tr>
    </w:tbl>
    <w:p w:rsidR="00C91450" w:rsidRDefault="00C91450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AF548F" w:rsidRDefault="00AF548F" w:rsidP="00C91450">
      <w:pPr>
        <w:spacing w:after="0" w:line="240" w:lineRule="auto"/>
        <w:ind w:firstLine="567"/>
        <w:jc w:val="both"/>
        <w:rPr>
          <w:rFonts w:ascii="Verdana" w:hAnsi="Verdana"/>
          <w:color w:val="3B3838" w:themeColor="background2" w:themeShade="40"/>
          <w:sz w:val="20"/>
          <w:lang w:val="bg-BG"/>
        </w:rPr>
      </w:pPr>
    </w:p>
    <w:p w:rsidR="000C4555" w:rsidRPr="00D1289A" w:rsidRDefault="000C4555" w:rsidP="000C4555">
      <w:pPr>
        <w:rPr>
          <w:rFonts w:ascii="Verdana" w:hAnsi="Verdana"/>
          <w:b/>
          <w:color w:val="404040" w:themeColor="text1" w:themeTint="BF"/>
          <w:sz w:val="20"/>
          <w:lang w:val="bg-BG"/>
        </w:rPr>
      </w:pPr>
      <w:r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>Обща оценка на изпълнението</w:t>
      </w:r>
      <w:r w:rsidR="00EF6C12"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 на </w:t>
      </w:r>
      <w:r w:rsidR="00DC3B15"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 xml:space="preserve">общинската </w:t>
      </w:r>
      <w:r w:rsidR="00EF6C12"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>План-програма</w:t>
      </w:r>
      <w:r w:rsidRPr="00D1289A">
        <w:rPr>
          <w:rFonts w:ascii="Verdana" w:hAnsi="Verdana"/>
          <w:b/>
          <w:color w:val="404040" w:themeColor="text1" w:themeTint="BF"/>
          <w:sz w:val="20"/>
          <w:lang w:val="bg-BG"/>
        </w:rPr>
        <w:t>:</w:t>
      </w:r>
    </w:p>
    <w:p w:rsidR="000C4555" w:rsidRDefault="000C4555" w:rsidP="000C4555">
      <w:pPr>
        <w:rPr>
          <w:rFonts w:ascii="Verdana" w:hAnsi="Verdana"/>
          <w:sz w:val="20"/>
          <w:lang w:val="bg-BG"/>
        </w:rPr>
      </w:pPr>
      <w:r w:rsidRPr="000C4555">
        <w:rPr>
          <w:rFonts w:ascii="Verdana" w:hAnsi="Verdana"/>
          <w:sz w:val="20"/>
          <w:lang w:val="bg-BG"/>
        </w:rPr>
        <w:t xml:space="preserve"> ………………………………………………………………………………………………………………………………………………</w:t>
      </w:r>
      <w:r w:rsidR="00917CE0">
        <w:rPr>
          <w:rFonts w:ascii="Verdana" w:hAnsi="Verdana"/>
          <w:sz w:val="20"/>
          <w:lang w:val="bg-BG"/>
        </w:rPr>
        <w:t>……………………………………………………………</w:t>
      </w:r>
    </w:p>
    <w:p w:rsidR="00773DD6" w:rsidRDefault="00773DD6" w:rsidP="000C4555">
      <w:pPr>
        <w:rPr>
          <w:rFonts w:ascii="Verdana" w:hAnsi="Verdana"/>
          <w:sz w:val="20"/>
          <w:lang w:val="bg-BG"/>
        </w:rPr>
      </w:pPr>
    </w:p>
    <w:p w:rsidR="00773DD6" w:rsidRDefault="00773DD6" w:rsidP="000C4555">
      <w:pPr>
        <w:rPr>
          <w:rFonts w:ascii="Verdana" w:hAnsi="Verdana"/>
          <w:sz w:val="20"/>
          <w:lang w:val="bg-BG"/>
        </w:rPr>
      </w:pPr>
    </w:p>
    <w:p w:rsidR="00773DD6" w:rsidRDefault="00773DD6" w:rsidP="000C4555">
      <w:pPr>
        <w:rPr>
          <w:rFonts w:ascii="Verdana" w:hAnsi="Verdana"/>
          <w:sz w:val="20"/>
          <w:lang w:val="bg-BG"/>
        </w:rPr>
      </w:pPr>
    </w:p>
    <w:p w:rsidR="00D1289A" w:rsidRPr="00542DB4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i/>
          <w:color w:val="FFFFFF" w:themeColor="background1"/>
          <w:sz w:val="20"/>
          <w:lang w:val="bg-BG"/>
        </w:rPr>
      </w:pPr>
    </w:p>
    <w:p w:rsidR="00D1289A" w:rsidRPr="00542DB4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>
        <w:rPr>
          <w:rFonts w:ascii="Verdana" w:hAnsi="Verdana"/>
          <w:b/>
          <w:color w:val="FFFFFF" w:themeColor="background1"/>
          <w:sz w:val="32"/>
          <w:lang w:val="bg-BG"/>
        </w:rPr>
        <w:t xml:space="preserve">РАЗДЕЛ </w:t>
      </w:r>
      <w:r>
        <w:rPr>
          <w:rFonts w:ascii="Verdana" w:hAnsi="Verdana"/>
          <w:b/>
          <w:color w:val="FFFFFF" w:themeColor="background1"/>
          <w:sz w:val="32"/>
        </w:rPr>
        <w:t>4</w:t>
      </w:r>
    </w:p>
    <w:p w:rsidR="00D1289A" w:rsidRPr="00D1289A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  <w:r w:rsidRPr="00D1289A">
        <w:rPr>
          <w:rFonts w:ascii="Verdana" w:hAnsi="Verdana"/>
          <w:b/>
          <w:color w:val="FFFFFF" w:themeColor="background1"/>
          <w:sz w:val="24"/>
          <w:lang w:val="bg-BG"/>
        </w:rPr>
        <w:t>ОСНОВНИ ПРОБЛЕМИ И ПРЕПОРЪКИ КЪМ ДАБДП</w:t>
      </w:r>
    </w:p>
    <w:p w:rsidR="00D1289A" w:rsidRPr="00542DB4" w:rsidRDefault="00D1289A" w:rsidP="00D1289A">
      <w:pPr>
        <w:shd w:val="clear" w:color="auto" w:fill="F55F41"/>
        <w:spacing w:after="0" w:line="240" w:lineRule="auto"/>
        <w:ind w:right="-35"/>
        <w:rPr>
          <w:rFonts w:ascii="Verdana" w:hAnsi="Verdana"/>
          <w:b/>
          <w:color w:val="FFFFFF" w:themeColor="background1"/>
          <w:sz w:val="24"/>
          <w:lang w:val="bg-BG"/>
        </w:rPr>
      </w:pPr>
      <w:r w:rsidRPr="00542DB4">
        <w:rPr>
          <w:rFonts w:ascii="Verdana" w:hAnsi="Verdana"/>
          <w:b/>
          <w:color w:val="FFFFFF" w:themeColor="background1"/>
          <w:sz w:val="24"/>
          <w:lang w:val="bg-BG"/>
        </w:rPr>
        <w:t xml:space="preserve"> </w:t>
      </w:r>
    </w:p>
    <w:p w:rsidR="00D1289A" w:rsidRDefault="00D1289A" w:rsidP="000C4555">
      <w:pPr>
        <w:rPr>
          <w:rFonts w:ascii="Verdana" w:hAnsi="Verdana"/>
          <w:i/>
          <w:sz w:val="20"/>
          <w:lang w:val="bg-BG"/>
        </w:rPr>
      </w:pPr>
    </w:p>
    <w:p w:rsidR="000C4555" w:rsidRDefault="000C4555" w:rsidP="000C4555">
      <w:pPr>
        <w:rPr>
          <w:rFonts w:ascii="Verdana" w:hAnsi="Verdana"/>
          <w:i/>
          <w:sz w:val="20"/>
          <w:lang w:val="bg-BG"/>
        </w:rPr>
      </w:pPr>
      <w:r w:rsidRPr="000C4555">
        <w:rPr>
          <w:rFonts w:ascii="Verdana" w:hAnsi="Verdana"/>
          <w:i/>
          <w:sz w:val="20"/>
          <w:lang w:val="bg-BG"/>
        </w:rPr>
        <w:t>………………………………………………………………………………………………………………………………………………</w:t>
      </w:r>
      <w:r w:rsidR="008655FA">
        <w:rPr>
          <w:rFonts w:ascii="Verdana" w:hAnsi="Verdana"/>
          <w:i/>
          <w:sz w:val="20"/>
          <w:lang w:val="bg-BG"/>
        </w:rPr>
        <w:t>……………………………………………………………..</w:t>
      </w:r>
    </w:p>
    <w:p w:rsidR="008655FA" w:rsidRPr="000C4555" w:rsidRDefault="008655FA" w:rsidP="000C4555">
      <w:pPr>
        <w:rPr>
          <w:rFonts w:ascii="Verdana" w:hAnsi="Verdana"/>
          <w:i/>
          <w:sz w:val="20"/>
          <w:lang w:val="bg-BG"/>
        </w:rPr>
      </w:pPr>
      <w:r w:rsidRPr="002A09D1">
        <w:rPr>
          <w:rFonts w:ascii="Verdana" w:hAnsi="Verdana"/>
          <w:b/>
          <w:i/>
          <w:sz w:val="20"/>
          <w:lang w:val="bg-BG"/>
        </w:rPr>
        <w:t>Приложение 1:</w:t>
      </w:r>
      <w:r>
        <w:rPr>
          <w:rFonts w:ascii="Verdana" w:hAnsi="Verdana"/>
          <w:i/>
          <w:sz w:val="20"/>
          <w:lang w:val="bg-BG"/>
        </w:rPr>
        <w:t xml:space="preserve"> Образец на </w:t>
      </w:r>
      <w:r w:rsidR="009F6E77">
        <w:rPr>
          <w:rFonts w:ascii="Verdana" w:hAnsi="Verdana"/>
          <w:i/>
          <w:sz w:val="20"/>
          <w:lang w:val="bg-BG"/>
        </w:rPr>
        <w:t xml:space="preserve">онлайн </w:t>
      </w:r>
      <w:r>
        <w:rPr>
          <w:rFonts w:ascii="Verdana" w:hAnsi="Verdana"/>
          <w:i/>
          <w:sz w:val="20"/>
          <w:lang w:val="bg-BG"/>
        </w:rPr>
        <w:t xml:space="preserve">въпросник към </w:t>
      </w:r>
      <w:r w:rsidR="0002475C">
        <w:rPr>
          <w:rFonts w:ascii="Verdana" w:hAnsi="Verdana"/>
          <w:i/>
          <w:sz w:val="20"/>
          <w:lang w:val="bg-BG"/>
        </w:rPr>
        <w:t>Раздел 2</w:t>
      </w:r>
      <w:r w:rsidR="00773DD6">
        <w:rPr>
          <w:rFonts w:ascii="Verdana" w:hAnsi="Verdana"/>
          <w:i/>
          <w:sz w:val="20"/>
          <w:lang w:val="bg-BG"/>
        </w:rPr>
        <w:t>. Забележка: въпросникът може да е предмет на актуализация с оглед оптимизиране на съдържанието му</w:t>
      </w:r>
    </w:p>
    <w:sectPr w:rsidR="008655FA" w:rsidRPr="000C4555" w:rsidSect="00E214A1">
      <w:footerReference w:type="default" r:id="rId9"/>
      <w:pgSz w:w="15840" w:h="12240" w:orient="landscape"/>
      <w:pgMar w:top="709" w:right="1417" w:bottom="993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67D7" w:rsidRDefault="00C567D7" w:rsidP="00EF6C12">
      <w:pPr>
        <w:spacing w:after="0" w:line="240" w:lineRule="auto"/>
      </w:pPr>
      <w:r>
        <w:separator/>
      </w:r>
    </w:p>
  </w:endnote>
  <w:endnote w:type="continuationSeparator" w:id="0">
    <w:p w:rsidR="00C567D7" w:rsidRDefault="00C567D7" w:rsidP="00EF6C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728795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5B31" w:rsidRDefault="00525B31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42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5B31" w:rsidRDefault="00525B3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67D7" w:rsidRDefault="00C567D7" w:rsidP="00EF6C12">
      <w:pPr>
        <w:spacing w:after="0" w:line="240" w:lineRule="auto"/>
      </w:pPr>
      <w:r>
        <w:separator/>
      </w:r>
    </w:p>
  </w:footnote>
  <w:footnote w:type="continuationSeparator" w:id="0">
    <w:p w:rsidR="00C567D7" w:rsidRDefault="00C567D7" w:rsidP="00EF6C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66103E"/>
    <w:multiLevelType w:val="hybridMultilevel"/>
    <w:tmpl w:val="866EA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04DC2"/>
    <w:multiLevelType w:val="multilevel"/>
    <w:tmpl w:val="2FEE1D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0A2A1440"/>
    <w:multiLevelType w:val="hybridMultilevel"/>
    <w:tmpl w:val="67C692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CA1050"/>
    <w:multiLevelType w:val="hybridMultilevel"/>
    <w:tmpl w:val="1266403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13666E4F"/>
    <w:multiLevelType w:val="hybridMultilevel"/>
    <w:tmpl w:val="814CDF26"/>
    <w:lvl w:ilvl="0" w:tplc="09B0F9B6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5">
    <w:nsid w:val="27731342"/>
    <w:multiLevelType w:val="multilevel"/>
    <w:tmpl w:val="ED2E9D1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28F74237"/>
    <w:multiLevelType w:val="hybridMultilevel"/>
    <w:tmpl w:val="C064438E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926569F"/>
    <w:multiLevelType w:val="multilevel"/>
    <w:tmpl w:val="F318A53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>
    <w:nsid w:val="2A757CC1"/>
    <w:multiLevelType w:val="hybridMultilevel"/>
    <w:tmpl w:val="93B063F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2C0328EF"/>
    <w:multiLevelType w:val="hybridMultilevel"/>
    <w:tmpl w:val="80C6B1E2"/>
    <w:lvl w:ilvl="0" w:tplc="7AD82442">
      <w:numFmt w:val="bullet"/>
      <w:lvlText w:val="–"/>
      <w:lvlJc w:val="left"/>
      <w:pPr>
        <w:ind w:left="466" w:hanging="360"/>
      </w:pPr>
      <w:rPr>
        <w:rFonts w:ascii="Verdana" w:eastAsiaTheme="minorHAnsi" w:hAnsi="Verdana" w:cstheme="minorBidi" w:hint="default"/>
      </w:rPr>
    </w:lvl>
    <w:lvl w:ilvl="1" w:tplc="DA6E29A2">
      <w:numFmt w:val="bullet"/>
      <w:lvlText w:val="-"/>
      <w:lvlJc w:val="left"/>
      <w:pPr>
        <w:ind w:left="1186" w:hanging="360"/>
      </w:pPr>
      <w:rPr>
        <w:rFonts w:ascii="Verdana" w:eastAsiaTheme="minorHAnsi" w:hAnsi="Verdana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abstractNum w:abstractNumId="10">
    <w:nsid w:val="33E81991"/>
    <w:multiLevelType w:val="hybridMultilevel"/>
    <w:tmpl w:val="7A964362"/>
    <w:lvl w:ilvl="0" w:tplc="5D9CBE90">
      <w:start w:val="3"/>
      <w:numFmt w:val="bullet"/>
      <w:lvlText w:val="-"/>
      <w:lvlJc w:val="left"/>
      <w:pPr>
        <w:ind w:left="394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>
    <w:nsid w:val="34067552"/>
    <w:multiLevelType w:val="hybridMultilevel"/>
    <w:tmpl w:val="1D025188"/>
    <w:lvl w:ilvl="0" w:tplc="040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">
    <w:nsid w:val="3EAD2AE6"/>
    <w:multiLevelType w:val="multilevel"/>
    <w:tmpl w:val="26F628B4"/>
    <w:lvl w:ilvl="0">
      <w:start w:val="1"/>
      <w:numFmt w:val="decimal"/>
      <w:lvlText w:val="%1."/>
      <w:lvlJc w:val="left"/>
      <w:pPr>
        <w:ind w:left="4755" w:hanging="360"/>
      </w:pPr>
      <w:rPr>
        <w:rFonts w:hint="default"/>
        <w:color w:val="2E74B5" w:themeColor="accent1" w:themeShade="BF"/>
      </w:rPr>
    </w:lvl>
    <w:lvl w:ilvl="1">
      <w:start w:val="2"/>
      <w:numFmt w:val="decimal"/>
      <w:isLgl/>
      <w:lvlText w:val="%1.%2"/>
      <w:lvlJc w:val="left"/>
      <w:pPr>
        <w:ind w:left="5319" w:hanging="924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5319" w:hanging="924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5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83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9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55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555" w:hanging="2160"/>
      </w:pPr>
      <w:rPr>
        <w:rFonts w:hint="default"/>
      </w:rPr>
    </w:lvl>
  </w:abstractNum>
  <w:abstractNum w:abstractNumId="13">
    <w:nsid w:val="3F224F7B"/>
    <w:multiLevelType w:val="multilevel"/>
    <w:tmpl w:val="8E96A064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>
    <w:nsid w:val="43D515CF"/>
    <w:multiLevelType w:val="multilevel"/>
    <w:tmpl w:val="1B726A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976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604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098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232" w:hanging="2160"/>
      </w:pPr>
      <w:rPr>
        <w:rFonts w:hint="default"/>
      </w:rPr>
    </w:lvl>
  </w:abstractNum>
  <w:abstractNum w:abstractNumId="15">
    <w:nsid w:val="4C47734A"/>
    <w:multiLevelType w:val="multilevel"/>
    <w:tmpl w:val="9BE42B4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6">
    <w:nsid w:val="4D950623"/>
    <w:multiLevelType w:val="hybridMultilevel"/>
    <w:tmpl w:val="207447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956C99"/>
    <w:multiLevelType w:val="multilevel"/>
    <w:tmpl w:val="35E4E26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5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6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6" w:hanging="2160"/>
      </w:pPr>
      <w:rPr>
        <w:rFonts w:hint="default"/>
      </w:rPr>
    </w:lvl>
  </w:abstractNum>
  <w:abstractNum w:abstractNumId="18">
    <w:nsid w:val="69B33E95"/>
    <w:multiLevelType w:val="hybridMultilevel"/>
    <w:tmpl w:val="2A22C50E"/>
    <w:lvl w:ilvl="0" w:tplc="DD12A5C0">
      <w:start w:val="31"/>
      <w:numFmt w:val="bullet"/>
      <w:lvlText w:val="-"/>
      <w:lvlJc w:val="left"/>
      <w:pPr>
        <w:ind w:left="720" w:hanging="360"/>
      </w:pPr>
      <w:rPr>
        <w:rFonts w:ascii="Verdana" w:eastAsia="Calibri" w:hAnsi="Verdana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521654"/>
    <w:multiLevelType w:val="hybridMultilevel"/>
    <w:tmpl w:val="73888E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3"/>
  </w:num>
  <w:num w:numId="5">
    <w:abstractNumId w:val="8"/>
  </w:num>
  <w:num w:numId="6">
    <w:abstractNumId w:val="13"/>
  </w:num>
  <w:num w:numId="7">
    <w:abstractNumId w:val="7"/>
  </w:num>
  <w:num w:numId="8">
    <w:abstractNumId w:val="15"/>
  </w:num>
  <w:num w:numId="9">
    <w:abstractNumId w:val="14"/>
  </w:num>
  <w:num w:numId="10">
    <w:abstractNumId w:val="5"/>
  </w:num>
  <w:num w:numId="11">
    <w:abstractNumId w:val="19"/>
  </w:num>
  <w:num w:numId="12">
    <w:abstractNumId w:val="17"/>
  </w:num>
  <w:num w:numId="13">
    <w:abstractNumId w:val="1"/>
  </w:num>
  <w:num w:numId="14">
    <w:abstractNumId w:val="18"/>
  </w:num>
  <w:num w:numId="15">
    <w:abstractNumId w:val="0"/>
  </w:num>
  <w:num w:numId="16">
    <w:abstractNumId w:val="4"/>
  </w:num>
  <w:num w:numId="17">
    <w:abstractNumId w:val="9"/>
  </w:num>
  <w:num w:numId="18">
    <w:abstractNumId w:val="10"/>
  </w:num>
  <w:num w:numId="19">
    <w:abstractNumId w:val="16"/>
  </w:num>
  <w:num w:numId="20">
    <w:abstractNumId w:val="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7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93"/>
    <w:rsid w:val="00003C67"/>
    <w:rsid w:val="00011FA6"/>
    <w:rsid w:val="00016055"/>
    <w:rsid w:val="0002475C"/>
    <w:rsid w:val="000400DD"/>
    <w:rsid w:val="00097699"/>
    <w:rsid w:val="000A0F78"/>
    <w:rsid w:val="000A211D"/>
    <w:rsid w:val="000A3713"/>
    <w:rsid w:val="000A5141"/>
    <w:rsid w:val="000B31E7"/>
    <w:rsid w:val="000B66E2"/>
    <w:rsid w:val="000C4555"/>
    <w:rsid w:val="000C6D58"/>
    <w:rsid w:val="000F74C5"/>
    <w:rsid w:val="0010025C"/>
    <w:rsid w:val="001127EC"/>
    <w:rsid w:val="00123748"/>
    <w:rsid w:val="00134D9B"/>
    <w:rsid w:val="00157082"/>
    <w:rsid w:val="0016493E"/>
    <w:rsid w:val="00196093"/>
    <w:rsid w:val="001A4859"/>
    <w:rsid w:val="001D31FD"/>
    <w:rsid w:val="001D560D"/>
    <w:rsid w:val="001E70BF"/>
    <w:rsid w:val="001F7DC1"/>
    <w:rsid w:val="00216A73"/>
    <w:rsid w:val="00217CC5"/>
    <w:rsid w:val="002420E4"/>
    <w:rsid w:val="0026091C"/>
    <w:rsid w:val="002626F4"/>
    <w:rsid w:val="00265E29"/>
    <w:rsid w:val="00272BB9"/>
    <w:rsid w:val="002A09D1"/>
    <w:rsid w:val="002A3A06"/>
    <w:rsid w:val="002C4F03"/>
    <w:rsid w:val="002C5093"/>
    <w:rsid w:val="002E1E00"/>
    <w:rsid w:val="002E4B65"/>
    <w:rsid w:val="00333186"/>
    <w:rsid w:val="00362E72"/>
    <w:rsid w:val="0037128F"/>
    <w:rsid w:val="00374278"/>
    <w:rsid w:val="003A062E"/>
    <w:rsid w:val="003A0931"/>
    <w:rsid w:val="003B6FB4"/>
    <w:rsid w:val="003D3593"/>
    <w:rsid w:val="003E256C"/>
    <w:rsid w:val="003E2A04"/>
    <w:rsid w:val="003E4D6C"/>
    <w:rsid w:val="003E5E42"/>
    <w:rsid w:val="00400067"/>
    <w:rsid w:val="00401974"/>
    <w:rsid w:val="00416486"/>
    <w:rsid w:val="004277C8"/>
    <w:rsid w:val="0049768E"/>
    <w:rsid w:val="004A164E"/>
    <w:rsid w:val="004D1F9C"/>
    <w:rsid w:val="004D595B"/>
    <w:rsid w:val="004E0A0D"/>
    <w:rsid w:val="004F3D08"/>
    <w:rsid w:val="005177B4"/>
    <w:rsid w:val="00525B31"/>
    <w:rsid w:val="00533C8D"/>
    <w:rsid w:val="00537E40"/>
    <w:rsid w:val="00542DB4"/>
    <w:rsid w:val="005463F0"/>
    <w:rsid w:val="00561115"/>
    <w:rsid w:val="00570B28"/>
    <w:rsid w:val="00571098"/>
    <w:rsid w:val="005736B0"/>
    <w:rsid w:val="00574B12"/>
    <w:rsid w:val="0058262F"/>
    <w:rsid w:val="00594A0D"/>
    <w:rsid w:val="005D54E1"/>
    <w:rsid w:val="005E019E"/>
    <w:rsid w:val="005E3690"/>
    <w:rsid w:val="005E3A41"/>
    <w:rsid w:val="005F2573"/>
    <w:rsid w:val="00610D2E"/>
    <w:rsid w:val="0062330B"/>
    <w:rsid w:val="006433D9"/>
    <w:rsid w:val="006447AB"/>
    <w:rsid w:val="00654AF6"/>
    <w:rsid w:val="00682BDC"/>
    <w:rsid w:val="00694949"/>
    <w:rsid w:val="006D226D"/>
    <w:rsid w:val="006D5A85"/>
    <w:rsid w:val="007146B0"/>
    <w:rsid w:val="00746246"/>
    <w:rsid w:val="00770D15"/>
    <w:rsid w:val="00773DD6"/>
    <w:rsid w:val="00783454"/>
    <w:rsid w:val="0078435A"/>
    <w:rsid w:val="00795DC1"/>
    <w:rsid w:val="007C50F0"/>
    <w:rsid w:val="007C6355"/>
    <w:rsid w:val="007E104F"/>
    <w:rsid w:val="00821484"/>
    <w:rsid w:val="0083316B"/>
    <w:rsid w:val="00846298"/>
    <w:rsid w:val="00855E14"/>
    <w:rsid w:val="00862D55"/>
    <w:rsid w:val="008655FA"/>
    <w:rsid w:val="00895A66"/>
    <w:rsid w:val="008A6CEA"/>
    <w:rsid w:val="008E1C61"/>
    <w:rsid w:val="008F2D75"/>
    <w:rsid w:val="0090061D"/>
    <w:rsid w:val="0091071C"/>
    <w:rsid w:val="00917CE0"/>
    <w:rsid w:val="00937F0E"/>
    <w:rsid w:val="009D601F"/>
    <w:rsid w:val="009E11A9"/>
    <w:rsid w:val="009E28D9"/>
    <w:rsid w:val="009E28E9"/>
    <w:rsid w:val="009E3C26"/>
    <w:rsid w:val="009E434A"/>
    <w:rsid w:val="009F349A"/>
    <w:rsid w:val="009F6E77"/>
    <w:rsid w:val="00A15330"/>
    <w:rsid w:val="00A22BCC"/>
    <w:rsid w:val="00A249F7"/>
    <w:rsid w:val="00A65441"/>
    <w:rsid w:val="00A6658E"/>
    <w:rsid w:val="00A67895"/>
    <w:rsid w:val="00A67BCB"/>
    <w:rsid w:val="00A70B85"/>
    <w:rsid w:val="00A800FD"/>
    <w:rsid w:val="00AA2670"/>
    <w:rsid w:val="00AE1E0D"/>
    <w:rsid w:val="00AE2819"/>
    <w:rsid w:val="00AF548F"/>
    <w:rsid w:val="00B10EF6"/>
    <w:rsid w:val="00B17988"/>
    <w:rsid w:val="00B22592"/>
    <w:rsid w:val="00B27737"/>
    <w:rsid w:val="00B46CBE"/>
    <w:rsid w:val="00B51C78"/>
    <w:rsid w:val="00B71626"/>
    <w:rsid w:val="00B741DD"/>
    <w:rsid w:val="00BA5235"/>
    <w:rsid w:val="00BC57C9"/>
    <w:rsid w:val="00BE29BC"/>
    <w:rsid w:val="00C16702"/>
    <w:rsid w:val="00C21127"/>
    <w:rsid w:val="00C27950"/>
    <w:rsid w:val="00C53324"/>
    <w:rsid w:val="00C567D7"/>
    <w:rsid w:val="00C758AB"/>
    <w:rsid w:val="00C86427"/>
    <w:rsid w:val="00C86D63"/>
    <w:rsid w:val="00C91450"/>
    <w:rsid w:val="00CA3121"/>
    <w:rsid w:val="00CF08F8"/>
    <w:rsid w:val="00CF4EE0"/>
    <w:rsid w:val="00D1289A"/>
    <w:rsid w:val="00D179D9"/>
    <w:rsid w:val="00D24C56"/>
    <w:rsid w:val="00DA449E"/>
    <w:rsid w:val="00DC3B15"/>
    <w:rsid w:val="00DC7C63"/>
    <w:rsid w:val="00DF643C"/>
    <w:rsid w:val="00E136A6"/>
    <w:rsid w:val="00E16F4B"/>
    <w:rsid w:val="00E214A1"/>
    <w:rsid w:val="00E44F01"/>
    <w:rsid w:val="00E8431B"/>
    <w:rsid w:val="00E90990"/>
    <w:rsid w:val="00EA3C9D"/>
    <w:rsid w:val="00EC5F1C"/>
    <w:rsid w:val="00EF6C12"/>
    <w:rsid w:val="00F02F92"/>
    <w:rsid w:val="00F114EA"/>
    <w:rsid w:val="00F26AAE"/>
    <w:rsid w:val="00F43389"/>
    <w:rsid w:val="00F57116"/>
    <w:rsid w:val="00F601EA"/>
    <w:rsid w:val="00F611A1"/>
    <w:rsid w:val="00F67173"/>
    <w:rsid w:val="00F95A98"/>
    <w:rsid w:val="00FA104F"/>
    <w:rsid w:val="00FD551F"/>
    <w:rsid w:val="00FD7262"/>
    <w:rsid w:val="00FF5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B138103-8FD8-49A1-B1FF-A1D563CFE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F78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555"/>
    <w:pPr>
      <w:keepNext/>
      <w:keepLines/>
      <w:spacing w:before="40" w:after="0" w:line="240" w:lineRule="auto"/>
      <w:ind w:firstLine="567"/>
      <w:jc w:val="both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paragraph" w:styleId="3">
    <w:name w:val="heading 3"/>
    <w:basedOn w:val="a"/>
    <w:next w:val="a"/>
    <w:link w:val="30"/>
    <w:uiPriority w:val="9"/>
    <w:unhideWhenUsed/>
    <w:qFormat/>
    <w:rsid w:val="000C4555"/>
    <w:pPr>
      <w:keepNext/>
      <w:keepLines/>
      <w:spacing w:after="0" w:line="276" w:lineRule="auto"/>
      <w:ind w:firstLine="709"/>
      <w:outlineLvl w:val="2"/>
    </w:pPr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Таблици/графики"/>
    <w:uiPriority w:val="1"/>
    <w:qFormat/>
    <w:rsid w:val="003B6FB4"/>
    <w:pPr>
      <w:spacing w:after="80" w:line="240" w:lineRule="auto"/>
      <w:jc w:val="center"/>
    </w:pPr>
    <w:rPr>
      <w:rFonts w:ascii="Verdana" w:hAnsi="Verdana"/>
      <w:spacing w:val="20"/>
      <w:sz w:val="20"/>
      <w:lang w:val="bg-BG"/>
    </w:rPr>
  </w:style>
  <w:style w:type="paragraph" w:styleId="a4">
    <w:name w:val="List Paragraph"/>
    <w:basedOn w:val="a"/>
    <w:uiPriority w:val="34"/>
    <w:qFormat/>
    <w:rsid w:val="003B6FB4"/>
    <w:pPr>
      <w:ind w:left="720"/>
      <w:contextualSpacing/>
    </w:pPr>
  </w:style>
  <w:style w:type="table" w:styleId="a5">
    <w:name w:val="Table Grid"/>
    <w:basedOn w:val="a1"/>
    <w:uiPriority w:val="39"/>
    <w:rsid w:val="00574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лавие 2 Знак"/>
    <w:basedOn w:val="a0"/>
    <w:link w:val="2"/>
    <w:uiPriority w:val="9"/>
    <w:semiHidden/>
    <w:rsid w:val="000C4555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bg-BG"/>
    </w:rPr>
  </w:style>
  <w:style w:type="character" w:customStyle="1" w:styleId="30">
    <w:name w:val="Заглавие 3 Знак"/>
    <w:basedOn w:val="a0"/>
    <w:link w:val="3"/>
    <w:uiPriority w:val="9"/>
    <w:rsid w:val="000C4555"/>
    <w:rPr>
      <w:rFonts w:ascii="Century Gothic" w:eastAsiaTheme="majorEastAsia" w:hAnsi="Century Gothic" w:cstheme="majorBidi"/>
      <w:b/>
      <w:bCs/>
      <w:color w:val="FFFFFF" w:themeColor="background1"/>
      <w:sz w:val="24"/>
      <w:lang w:val="bg-BG"/>
    </w:rPr>
  </w:style>
  <w:style w:type="numbering" w:customStyle="1" w:styleId="NoList1">
    <w:name w:val="No List1"/>
    <w:next w:val="a2"/>
    <w:uiPriority w:val="99"/>
    <w:semiHidden/>
    <w:unhideWhenUsed/>
    <w:rsid w:val="000C4555"/>
  </w:style>
  <w:style w:type="paragraph" w:styleId="1">
    <w:name w:val="toc 1"/>
    <w:basedOn w:val="a"/>
    <w:next w:val="a"/>
    <w:autoRedefine/>
    <w:uiPriority w:val="39"/>
    <w:unhideWhenUsed/>
    <w:rsid w:val="000C4555"/>
    <w:pPr>
      <w:spacing w:before="360" w:after="360" w:line="240" w:lineRule="auto"/>
    </w:pPr>
    <w:rPr>
      <w:rFonts w:cstheme="minorHAnsi"/>
      <w:b/>
      <w:bCs/>
      <w:caps/>
      <w:color w:val="404040" w:themeColor="text1" w:themeTint="BF"/>
      <w:u w:val="single"/>
      <w:lang w:val="bg-BG"/>
    </w:rPr>
  </w:style>
  <w:style w:type="paragraph" w:styleId="21">
    <w:name w:val="toc 2"/>
    <w:basedOn w:val="a"/>
    <w:next w:val="a"/>
    <w:autoRedefine/>
    <w:uiPriority w:val="39"/>
    <w:unhideWhenUsed/>
    <w:rsid w:val="000C4555"/>
    <w:pPr>
      <w:tabs>
        <w:tab w:val="right" w:pos="9736"/>
      </w:tabs>
      <w:spacing w:after="0" w:line="240" w:lineRule="auto"/>
    </w:pPr>
    <w:rPr>
      <w:rFonts w:cstheme="minorHAnsi"/>
      <w:b/>
      <w:bCs/>
      <w:smallCaps/>
      <w:color w:val="404040" w:themeColor="text1" w:themeTint="BF"/>
      <w:lang w:val="bg-BG"/>
    </w:rPr>
  </w:style>
  <w:style w:type="paragraph" w:styleId="31">
    <w:name w:val="toc 3"/>
    <w:basedOn w:val="a"/>
    <w:next w:val="a"/>
    <w:autoRedefine/>
    <w:uiPriority w:val="39"/>
    <w:unhideWhenUsed/>
    <w:rsid w:val="000C4555"/>
    <w:pPr>
      <w:spacing w:after="0" w:line="240" w:lineRule="auto"/>
    </w:pPr>
    <w:rPr>
      <w:rFonts w:cstheme="minorHAnsi"/>
      <w:smallCaps/>
      <w:color w:val="404040" w:themeColor="text1" w:themeTint="BF"/>
      <w:lang w:val="bg-BG"/>
    </w:rPr>
  </w:style>
  <w:style w:type="character" w:styleId="a6">
    <w:name w:val="Hyperlink"/>
    <w:basedOn w:val="a0"/>
    <w:uiPriority w:val="99"/>
    <w:unhideWhenUsed/>
    <w:rsid w:val="000C4555"/>
    <w:rPr>
      <w:color w:val="0563C1" w:themeColor="hyperlink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Consolas" w:hAnsi="Consolas"/>
      <w:color w:val="404040" w:themeColor="text1" w:themeTint="BF"/>
      <w:sz w:val="20"/>
      <w:szCs w:val="20"/>
      <w:lang w:val="bg-BG"/>
    </w:rPr>
  </w:style>
  <w:style w:type="character" w:customStyle="1" w:styleId="HTML0">
    <w:name w:val="HTML стандартен Знак"/>
    <w:basedOn w:val="a0"/>
    <w:link w:val="HTML"/>
    <w:uiPriority w:val="99"/>
    <w:semiHidden/>
    <w:rsid w:val="000C4555"/>
    <w:rPr>
      <w:rFonts w:ascii="Consolas" w:hAnsi="Consolas"/>
      <w:color w:val="404040" w:themeColor="text1" w:themeTint="BF"/>
      <w:sz w:val="20"/>
      <w:szCs w:val="20"/>
      <w:lang w:val="bg-BG"/>
    </w:rPr>
  </w:style>
  <w:style w:type="paragraph" w:styleId="a7">
    <w:name w:val="header"/>
    <w:basedOn w:val="a"/>
    <w:link w:val="a8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8">
    <w:name w:val="Горен колонтитул Знак"/>
    <w:basedOn w:val="a0"/>
    <w:link w:val="a7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paragraph" w:styleId="a9">
    <w:name w:val="footer"/>
    <w:basedOn w:val="a"/>
    <w:link w:val="aa"/>
    <w:uiPriority w:val="99"/>
    <w:unhideWhenUsed/>
    <w:rsid w:val="000C4555"/>
    <w:pPr>
      <w:tabs>
        <w:tab w:val="center" w:pos="4703"/>
        <w:tab w:val="right" w:pos="9406"/>
      </w:tabs>
      <w:spacing w:after="0" w:line="240" w:lineRule="auto"/>
      <w:ind w:firstLine="567"/>
      <w:jc w:val="both"/>
    </w:pPr>
    <w:rPr>
      <w:rFonts w:ascii="Verdana" w:hAnsi="Verdana"/>
      <w:color w:val="404040" w:themeColor="text1" w:themeTint="BF"/>
      <w:sz w:val="20"/>
      <w:lang w:val="bg-BG"/>
    </w:rPr>
  </w:style>
  <w:style w:type="character" w:customStyle="1" w:styleId="aa">
    <w:name w:val="Долен колонтитул Знак"/>
    <w:basedOn w:val="a0"/>
    <w:link w:val="a9"/>
    <w:uiPriority w:val="99"/>
    <w:rsid w:val="000C4555"/>
    <w:rPr>
      <w:rFonts w:ascii="Verdana" w:hAnsi="Verdana"/>
      <w:color w:val="404040" w:themeColor="text1" w:themeTint="BF"/>
      <w:sz w:val="20"/>
      <w:lang w:val="bg-BG"/>
    </w:rPr>
  </w:style>
  <w:style w:type="character" w:styleId="ab">
    <w:name w:val="Strong"/>
    <w:basedOn w:val="a0"/>
    <w:uiPriority w:val="22"/>
    <w:qFormat/>
    <w:rsid w:val="000C4555"/>
    <w:rPr>
      <w:b/>
      <w:bCs/>
    </w:rPr>
  </w:style>
  <w:style w:type="paragraph" w:styleId="ac">
    <w:name w:val="footnote text"/>
    <w:basedOn w:val="a"/>
    <w:link w:val="ad"/>
    <w:unhideWhenUsed/>
    <w:rsid w:val="000C4555"/>
    <w:pPr>
      <w:spacing w:after="0" w:line="360" w:lineRule="auto"/>
      <w:jc w:val="both"/>
    </w:pPr>
    <w:rPr>
      <w:rFonts w:ascii="Times New Roman" w:eastAsia="Calibri" w:hAnsi="Times New Roman" w:cs="Times New Roman"/>
      <w:sz w:val="20"/>
      <w:szCs w:val="20"/>
      <w:lang w:val="bg-BG"/>
    </w:rPr>
  </w:style>
  <w:style w:type="character" w:customStyle="1" w:styleId="ad">
    <w:name w:val="Текст под линия Знак"/>
    <w:basedOn w:val="a0"/>
    <w:link w:val="ac"/>
    <w:rsid w:val="000C4555"/>
    <w:rPr>
      <w:rFonts w:ascii="Times New Roman" w:eastAsia="Calibri" w:hAnsi="Times New Roman" w:cs="Times New Roman"/>
      <w:sz w:val="20"/>
      <w:szCs w:val="20"/>
      <w:lang w:val="bg-BG"/>
    </w:rPr>
  </w:style>
  <w:style w:type="character" w:styleId="ae">
    <w:name w:val="footnote reference"/>
    <w:aliases w:val="SUPERS,-E Fußnotenzeichen,number,Footnote reference number,Footnote symbol,note TESI,-E Fu?notenzeichen"/>
    <w:basedOn w:val="a0"/>
    <w:unhideWhenUsed/>
    <w:rsid w:val="000C4555"/>
    <w:rPr>
      <w:vertAlign w:val="superscript"/>
    </w:rPr>
  </w:style>
  <w:style w:type="table" w:customStyle="1" w:styleId="TableGrid1">
    <w:name w:val="Table Grid1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0C4555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Verdana" w:hAnsi="Verdana"/>
      <w:sz w:val="20"/>
      <w:szCs w:val="20"/>
      <w:lang w:val="bg-BG"/>
    </w:rPr>
  </w:style>
  <w:style w:type="character" w:customStyle="1" w:styleId="af1">
    <w:name w:val="Текст на коментар Знак"/>
    <w:basedOn w:val="a0"/>
    <w:link w:val="af0"/>
    <w:uiPriority w:val="99"/>
    <w:semiHidden/>
    <w:rsid w:val="000C4555"/>
    <w:rPr>
      <w:rFonts w:ascii="Verdana" w:hAnsi="Verdana"/>
      <w:sz w:val="20"/>
      <w:szCs w:val="20"/>
      <w:lang w:val="bg-BG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0C4555"/>
    <w:rPr>
      <w:b/>
      <w:bCs/>
    </w:rPr>
  </w:style>
  <w:style w:type="character" w:customStyle="1" w:styleId="af3">
    <w:name w:val="Предмет на коментар Знак"/>
    <w:basedOn w:val="af1"/>
    <w:link w:val="af2"/>
    <w:uiPriority w:val="99"/>
    <w:semiHidden/>
    <w:rsid w:val="000C4555"/>
    <w:rPr>
      <w:rFonts w:ascii="Verdana" w:hAnsi="Verdana"/>
      <w:b/>
      <w:bCs/>
      <w:sz w:val="20"/>
      <w:szCs w:val="20"/>
      <w:lang w:val="bg-BG"/>
    </w:rPr>
  </w:style>
  <w:style w:type="paragraph" w:styleId="af4">
    <w:name w:val="Balloon Text"/>
    <w:basedOn w:val="a"/>
    <w:link w:val="af5"/>
    <w:uiPriority w:val="99"/>
    <w:semiHidden/>
    <w:unhideWhenUsed/>
    <w:rsid w:val="000C4555"/>
    <w:pPr>
      <w:spacing w:after="0" w:line="240" w:lineRule="auto"/>
      <w:ind w:firstLine="567"/>
      <w:jc w:val="both"/>
    </w:pPr>
    <w:rPr>
      <w:rFonts w:ascii="Segoe UI" w:hAnsi="Segoe UI" w:cs="Segoe UI"/>
      <w:sz w:val="18"/>
      <w:szCs w:val="18"/>
      <w:lang w:val="bg-BG"/>
    </w:rPr>
  </w:style>
  <w:style w:type="character" w:customStyle="1" w:styleId="af5">
    <w:name w:val="Изнесен текст Знак"/>
    <w:basedOn w:val="a0"/>
    <w:link w:val="af4"/>
    <w:uiPriority w:val="99"/>
    <w:semiHidden/>
    <w:rsid w:val="000C4555"/>
    <w:rPr>
      <w:rFonts w:ascii="Segoe UI" w:hAnsi="Segoe UI" w:cs="Segoe UI"/>
      <w:sz w:val="18"/>
      <w:szCs w:val="18"/>
      <w:lang w:val="bg-BG"/>
    </w:rPr>
  </w:style>
  <w:style w:type="table" w:customStyle="1" w:styleId="TableGrid2">
    <w:name w:val="Table Grid2"/>
    <w:basedOn w:val="a1"/>
    <w:next w:val="a5"/>
    <w:uiPriority w:val="39"/>
    <w:rsid w:val="000C4555"/>
    <w:pPr>
      <w:spacing w:after="0" w:line="240" w:lineRule="auto"/>
    </w:pPr>
    <w:rPr>
      <w:lang w:val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a1"/>
    <w:next w:val="a5"/>
    <w:uiPriority w:val="39"/>
    <w:rsid w:val="000C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page number"/>
    <w:basedOn w:val="a0"/>
    <w:uiPriority w:val="99"/>
    <w:semiHidden/>
    <w:unhideWhenUsed/>
    <w:rsid w:val="000C4555"/>
  </w:style>
  <w:style w:type="table" w:customStyle="1" w:styleId="TableGrid4">
    <w:name w:val="Table Grid4"/>
    <w:basedOn w:val="a1"/>
    <w:next w:val="a5"/>
    <w:uiPriority w:val="39"/>
    <w:rsid w:val="000C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a1"/>
    <w:next w:val="a5"/>
    <w:uiPriority w:val="39"/>
    <w:rsid w:val="000C45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6">
    <w:name w:val="Table Grid6"/>
    <w:basedOn w:val="a1"/>
    <w:next w:val="a5"/>
    <w:uiPriority w:val="39"/>
    <w:rsid w:val="00542D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1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1142E-4922-48E6-93A1-540DEDBE5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2044</Words>
  <Characters>11653</Characters>
  <Application>Microsoft Office Word</Application>
  <DocSecurity>0</DocSecurity>
  <Lines>97</Lines>
  <Paragraphs>27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SARS</Company>
  <LinksUpToDate>false</LinksUpToDate>
  <CharactersWithSpaces>13670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Petrova</dc:creator>
  <cp:keywords/>
  <dc:description/>
  <cp:lastModifiedBy>user</cp:lastModifiedBy>
  <cp:revision>2</cp:revision>
  <dcterms:created xsi:type="dcterms:W3CDTF">2022-02-09T08:19:00Z</dcterms:created>
  <dcterms:modified xsi:type="dcterms:W3CDTF">2022-02-09T08:19:00Z</dcterms:modified>
</cp:coreProperties>
</file>