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C8" w:rsidRPr="00C26AC8" w:rsidRDefault="00C26AC8" w:rsidP="00C2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26AC8" w:rsidRPr="00C26AC8" w:rsidRDefault="00C26AC8" w:rsidP="00C26AC8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26AC8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63A4A" id="Правоъгълник 2" o:spid="_x0000_s1026" style="position:absolute;margin-left:-8.25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" fillcolor="#6fcf9f"/>
            </w:pict>
          </mc:Fallback>
        </mc:AlternateContent>
      </w:r>
      <w:r w:rsidRPr="00C26AC8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230505</wp:posOffset>
                </wp:positionV>
                <wp:extent cx="4610100" cy="571500"/>
                <wp:effectExtent l="0" t="0" r="19050" b="1905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AC8" w:rsidRDefault="00C26AC8" w:rsidP="00C26A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C26AC8" w:rsidRDefault="00C26AC8" w:rsidP="00C26AC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3" o:spid="_x0000_s1026" style="position:absolute;margin-left:113.65pt;margin-top:18.15pt;width:36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" fillcolor="#6fcf9f">
                <v:textbox>
                  <w:txbxContent>
                    <w:p w:rsidR="00C26AC8" w:rsidRDefault="00C26AC8" w:rsidP="00C26AC8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C26AC8" w:rsidRDefault="00C26AC8" w:rsidP="00C26AC8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C26AC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</w:t>
      </w:r>
      <w:r w:rsidRPr="00C26AC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26AC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="00B71FE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filled="t">
            <v:imagedata r:id="rId5" o:title=""/>
          </v:shape>
        </w:pict>
      </w:r>
      <w:r w:rsidRPr="00C26AC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26A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 , Област Русе , ул. “Олимпийска” 75</w:t>
      </w:r>
    </w:p>
    <w:p w:rsidR="00C26AC8" w:rsidRPr="00C26AC8" w:rsidRDefault="00C26AC8" w:rsidP="00C2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         тел.: 08116/2</w:t>
      </w:r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53, факс: 08116/28-70,</w:t>
      </w:r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e</w:t>
      </w:r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proofErr w:type="spellStart"/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obshtina</w:t>
      </w:r>
      <w:proofErr w:type="spellEnd"/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@</w:t>
      </w:r>
      <w:proofErr w:type="spellStart"/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ivanovo</w:t>
      </w:r>
      <w:proofErr w:type="spellEnd"/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.</w:t>
      </w:r>
      <w:proofErr w:type="spellStart"/>
      <w:r w:rsidRPr="00C26A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bg</w:t>
      </w:r>
      <w:proofErr w:type="spellEnd"/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</w:p>
    <w:p w:rsidR="00C26AC8" w:rsidRPr="00C26AC8" w:rsidRDefault="00C26AC8" w:rsidP="00C2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AC8" w:rsidRPr="00C26AC8" w:rsidRDefault="00C26AC8" w:rsidP="00C26AC8">
      <w:pPr>
        <w:keepNext/>
        <w:spacing w:after="0" w:line="240" w:lineRule="auto"/>
        <w:outlineLvl w:val="4"/>
        <w:rPr>
          <w:rFonts w:ascii="Calibri" w:eastAsia="Times New Roman" w:hAnsi="Calibri" w:cs="Times New Roman"/>
          <w:b/>
          <w:sz w:val="40"/>
          <w:szCs w:val="40"/>
          <w:u w:val="single"/>
        </w:rPr>
      </w:pPr>
      <w:r w:rsidRPr="00C26AC8">
        <w:rPr>
          <w:rFonts w:ascii="Calibri" w:eastAsia="Times New Roman" w:hAnsi="Calibri" w:cs="Times New Roman"/>
          <w:b/>
          <w:sz w:val="40"/>
          <w:szCs w:val="40"/>
          <w:u w:val="single"/>
        </w:rPr>
        <w:t>ПРОЕКТ</w:t>
      </w: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AC8" w:rsidRPr="00C26AC8" w:rsidRDefault="00C26AC8" w:rsidP="00C26AC8">
      <w:pPr>
        <w:keepNext/>
        <w:spacing w:after="20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26AC8">
        <w:rPr>
          <w:rFonts w:ascii="Times New Roman" w:eastAsia="Times New Roman" w:hAnsi="Times New Roman" w:cs="Times New Roman"/>
          <w:b/>
          <w:sz w:val="44"/>
          <w:szCs w:val="44"/>
        </w:rPr>
        <w:t xml:space="preserve">НАРЕДБА ЗА ИЗМЕНЕНИЕ И ДОПЪЛНЕНИЕ НА </w:t>
      </w:r>
    </w:p>
    <w:p w:rsidR="00C26AC8" w:rsidRPr="00C26AC8" w:rsidRDefault="00C26AC8" w:rsidP="00C26AC8">
      <w:pPr>
        <w:keepNext/>
        <w:spacing w:after="20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26AC8">
        <w:rPr>
          <w:rFonts w:ascii="Times New Roman" w:eastAsia="Times New Roman" w:hAnsi="Times New Roman" w:cs="Times New Roman"/>
          <w:b/>
          <w:sz w:val="44"/>
          <w:szCs w:val="44"/>
        </w:rPr>
        <w:t>НАРЕДБА</w:t>
      </w:r>
    </w:p>
    <w:p w:rsidR="00C26AC8" w:rsidRPr="00C26AC8" w:rsidRDefault="00C26AC8" w:rsidP="00C2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-US"/>
        </w:rPr>
      </w:pPr>
      <w:r w:rsidRPr="00C26AC8">
        <w:rPr>
          <w:rFonts w:ascii="Times New Roman" w:eastAsia="Times New Roman" w:hAnsi="Times New Roman" w:cs="Times New Roman"/>
          <w:b/>
          <w:sz w:val="52"/>
          <w:szCs w:val="52"/>
        </w:rPr>
        <w:t>№ 5</w:t>
      </w:r>
    </w:p>
    <w:p w:rsidR="00C26AC8" w:rsidRPr="00C26AC8" w:rsidRDefault="00C26AC8" w:rsidP="00C26AC8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26AC8">
        <w:rPr>
          <w:rFonts w:ascii="Times New Roman" w:eastAsia="Times New Roman" w:hAnsi="Times New Roman" w:cs="Times New Roman"/>
          <w:b/>
          <w:sz w:val="40"/>
          <w:szCs w:val="40"/>
        </w:rPr>
        <w:t>за определяне размера на местните данъци</w:t>
      </w:r>
    </w:p>
    <w:p w:rsidR="00C26AC8" w:rsidRPr="00C26AC8" w:rsidRDefault="00C26AC8" w:rsidP="00C26AC8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26AC8">
        <w:rPr>
          <w:rFonts w:ascii="Times New Roman" w:eastAsia="Times New Roman" w:hAnsi="Times New Roman" w:cs="Times New Roman"/>
          <w:b/>
          <w:sz w:val="40"/>
          <w:szCs w:val="40"/>
        </w:rPr>
        <w:t>на територията на Община Иваново</w:t>
      </w:r>
    </w:p>
    <w:p w:rsidR="00C26AC8" w:rsidRPr="00C26AC8" w:rsidRDefault="00C26AC8" w:rsidP="00C2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AC8">
        <w:rPr>
          <w:rFonts w:ascii="Times New Roman" w:eastAsia="Times New Roman" w:hAnsi="Times New Roman" w:cs="Times New Roman"/>
          <w:b/>
          <w:sz w:val="24"/>
          <w:szCs w:val="24"/>
        </w:rPr>
        <w:t xml:space="preserve">ВНОСИТЕЛ: </w:t>
      </w:r>
      <w:r w:rsidRPr="00C26AC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ГЕОРГИ МИЛАНОВ – КМЕТ НА ОБЩИНА ИВАНОВО</w:t>
      </w: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AC8" w:rsidRPr="009240B9" w:rsidRDefault="00C26AC8" w:rsidP="00C2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0B9">
        <w:rPr>
          <w:rFonts w:ascii="Times New Roman" w:eastAsia="Times New Roman" w:hAnsi="Times New Roman" w:cs="Times New Roman"/>
          <w:sz w:val="28"/>
          <w:szCs w:val="28"/>
        </w:rPr>
        <w:t>На основание чл. 26, ал. 3 от Закона за нормативните актове, проектите на нормативни актове се публикуват за обществени консултации. С оглед изложеното, определям 30-дневен срок от публикуване на настоящия проект за измен</w:t>
      </w:r>
      <w:r>
        <w:rPr>
          <w:rFonts w:ascii="Times New Roman" w:eastAsia="Times New Roman" w:hAnsi="Times New Roman" w:cs="Times New Roman"/>
          <w:sz w:val="28"/>
          <w:szCs w:val="28"/>
        </w:rPr>
        <w:t>ение и допълнение на Наредба № 5</w:t>
      </w:r>
      <w:r w:rsidRPr="009240B9">
        <w:rPr>
          <w:rFonts w:ascii="Times New Roman" w:eastAsia="Times New Roman" w:hAnsi="Times New Roman" w:cs="Times New Roman"/>
          <w:sz w:val="28"/>
          <w:szCs w:val="28"/>
        </w:rPr>
        <w:t xml:space="preserve"> за опреде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ляне размера на местните данъци </w:t>
      </w:r>
      <w:r w:rsidRPr="009240B9">
        <w:rPr>
          <w:rFonts w:ascii="Times New Roman" w:eastAsia="Times New Roman" w:hAnsi="Times New Roman" w:cs="Times New Roman"/>
          <w:sz w:val="28"/>
          <w:szCs w:val="28"/>
        </w:rPr>
        <w:t>на територията на Община Иваново, в който заинтересованите лица могат да подават своите предложения и становища на e-</w:t>
      </w:r>
      <w:proofErr w:type="spellStart"/>
      <w:r w:rsidRPr="009240B9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9240B9">
        <w:rPr>
          <w:rFonts w:ascii="Times New Roman" w:eastAsia="Times New Roman" w:hAnsi="Times New Roman" w:cs="Times New Roman"/>
          <w:sz w:val="28"/>
          <w:szCs w:val="28"/>
        </w:rPr>
        <w:t xml:space="preserve"> адрес: </w:t>
      </w:r>
      <w:hyperlink r:id="rId6" w:history="1">
        <w:r w:rsidRPr="009240B9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</w:rPr>
          <w:t>obshtina@ivanovo.bg</w:t>
        </w:r>
      </w:hyperlink>
      <w:r w:rsidRPr="009240B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26AC8" w:rsidRDefault="00C26AC8" w:rsidP="00C2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6AC8" w:rsidRDefault="00C26AC8" w:rsidP="00C2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6AC8" w:rsidRDefault="00C26AC8" w:rsidP="00C2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42D9F" w:rsidRDefault="00C42D9F" w:rsidP="00C2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6AC8" w:rsidRDefault="00C26AC8" w:rsidP="00C2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6AC8">
        <w:rPr>
          <w:rFonts w:ascii="Times New Roman" w:eastAsia="Times New Roman" w:hAnsi="Times New Roman" w:cs="Times New Roman"/>
          <w:b/>
          <w:i/>
          <w:sz w:val="28"/>
          <w:szCs w:val="28"/>
        </w:rPr>
        <w:t>МОТИВИ:</w:t>
      </w:r>
    </w:p>
    <w:p w:rsidR="00C42D9F" w:rsidRPr="00C26AC8" w:rsidRDefault="00C42D9F" w:rsidP="00C2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C26AC8" w:rsidRPr="00C26AC8" w:rsidRDefault="00C26AC8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6AC8" w:rsidRPr="00C26AC8" w:rsidRDefault="00C26AC8" w:rsidP="00C26A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26AC8">
        <w:rPr>
          <w:rFonts w:ascii="Times New Roman" w:eastAsia="Times New Roman" w:hAnsi="Times New Roman" w:cs="Times New Roman"/>
          <w:sz w:val="28"/>
          <w:szCs w:val="28"/>
          <w:lang w:val="en-US"/>
        </w:rPr>
        <w:t>I.</w:t>
      </w:r>
      <w:r w:rsidR="00FC2728">
        <w:rPr>
          <w:rFonts w:ascii="Times New Roman" w:eastAsia="Times New Roman" w:hAnsi="Times New Roman" w:cs="Times New Roman"/>
          <w:sz w:val="28"/>
          <w:szCs w:val="28"/>
        </w:rPr>
        <w:t xml:space="preserve"> Причини</w:t>
      </w:r>
      <w:r w:rsidRPr="00C26AC8">
        <w:rPr>
          <w:rFonts w:ascii="Times New Roman" w:eastAsia="Times New Roman" w:hAnsi="Times New Roman" w:cs="Times New Roman"/>
          <w:sz w:val="28"/>
          <w:szCs w:val="28"/>
        </w:rPr>
        <w:t>, които налагат изменение</w:t>
      </w:r>
      <w:r w:rsidR="00BE292A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C26AC8">
        <w:rPr>
          <w:rFonts w:ascii="Times New Roman" w:eastAsia="Times New Roman" w:hAnsi="Times New Roman" w:cs="Times New Roman"/>
          <w:sz w:val="28"/>
          <w:szCs w:val="28"/>
        </w:rPr>
        <w:t xml:space="preserve"> на наредбата</w:t>
      </w:r>
    </w:p>
    <w:p w:rsidR="00C26AC8" w:rsidRDefault="00C26AC8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основание чл. 1, ал. 2 от Закона за местните данъци и такси</w:t>
      </w:r>
      <w:r w:rsidR="001747D4">
        <w:rPr>
          <w:rFonts w:ascii="Times New Roman" w:eastAsia="Times New Roman" w:hAnsi="Times New Roman" w:cs="Times New Roman"/>
          <w:sz w:val="28"/>
          <w:szCs w:val="28"/>
        </w:rPr>
        <w:t xml:space="preserve"> (ЗМДТ)</w:t>
      </w:r>
      <w:r>
        <w:rPr>
          <w:rFonts w:ascii="Times New Roman" w:eastAsia="Times New Roman" w:hAnsi="Times New Roman" w:cs="Times New Roman"/>
          <w:sz w:val="28"/>
          <w:szCs w:val="28"/>
        </w:rPr>
        <w:t>, Общинският съвет приема с наредба размера на местните данъци, по реда и в границите, определени в закона. По този начин законодателят е предоставил правомощието на органите на местното самоуправление – общинските съвети, сами да определят собствените си приходи, което е част от процеса по финансова децентрализация на общините.</w:t>
      </w:r>
    </w:p>
    <w:p w:rsidR="00F55186" w:rsidRDefault="00F55186" w:rsidP="00F55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Решение </w:t>
      </w:r>
      <w:r w:rsidRPr="00F55186">
        <w:rPr>
          <w:rFonts w:ascii="Times New Roman" w:eastAsia="Times New Roman" w:hAnsi="Times New Roman" w:cs="Times New Roman"/>
          <w:sz w:val="28"/>
          <w:szCs w:val="28"/>
        </w:rPr>
        <w:t>№ 147 по Протокол № 22/ 22.01.2009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Общински съвет – Иваново е приел Наредба</w:t>
      </w:r>
      <w:r w:rsidR="0053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 </w:t>
      </w:r>
      <w:r w:rsidRPr="00F55186">
        <w:rPr>
          <w:rFonts w:ascii="Times New Roman" w:eastAsia="Times New Roman" w:hAnsi="Times New Roman" w:cs="Times New Roman"/>
          <w:sz w:val="28"/>
          <w:szCs w:val="28"/>
        </w:rPr>
        <w:t>за определяне размера на местните 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ъци </w:t>
      </w:r>
      <w:r w:rsidRPr="00F55186">
        <w:rPr>
          <w:rFonts w:ascii="Times New Roman" w:eastAsia="Times New Roman" w:hAnsi="Times New Roman" w:cs="Times New Roman"/>
          <w:sz w:val="28"/>
          <w:szCs w:val="28"/>
        </w:rPr>
        <w:t>на територията на Община Иваново</w:t>
      </w:r>
      <w:r w:rsidR="005367F0">
        <w:rPr>
          <w:rFonts w:ascii="Times New Roman" w:eastAsia="Times New Roman" w:hAnsi="Times New Roman" w:cs="Times New Roman"/>
          <w:sz w:val="28"/>
          <w:szCs w:val="28"/>
        </w:rPr>
        <w:t>. От влизането на наредбата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сила до настоящия момент</w:t>
      </w:r>
      <w:r w:rsidR="005367F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7F0">
        <w:rPr>
          <w:rFonts w:ascii="Times New Roman" w:eastAsia="Times New Roman" w:hAnsi="Times New Roman" w:cs="Times New Roman"/>
          <w:sz w:val="28"/>
          <w:szCs w:val="28"/>
        </w:rPr>
        <w:t>същата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претърпяла промени по отношение на размера на местните данъци, </w:t>
      </w:r>
      <w:r w:rsidR="005367F0">
        <w:rPr>
          <w:rFonts w:ascii="Times New Roman" w:eastAsia="Times New Roman" w:hAnsi="Times New Roman" w:cs="Times New Roman"/>
          <w:sz w:val="28"/>
          <w:szCs w:val="28"/>
        </w:rPr>
        <w:t>както и промени в някои текстове с цел синхронизирането им с последващи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="005367F0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за местните данъци и такси.</w:t>
      </w:r>
    </w:p>
    <w:p w:rsidR="006A7156" w:rsidRDefault="00DD76F5" w:rsidP="00E42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Настоящото п</w:t>
      </w:r>
      <w:r w:rsidR="0068603A">
        <w:rPr>
          <w:rFonts w:ascii="Times New Roman" w:eastAsia="Times New Roman" w:hAnsi="Times New Roman" w:cs="Times New Roman"/>
          <w:sz w:val="28"/>
          <w:szCs w:val="28"/>
        </w:rPr>
        <w:t xml:space="preserve">редложение за изменение на Наредбата </w:t>
      </w:r>
      <w:r>
        <w:rPr>
          <w:rFonts w:ascii="Times New Roman" w:eastAsia="Times New Roman" w:hAnsi="Times New Roman" w:cs="Times New Roman"/>
          <w:sz w:val="28"/>
          <w:szCs w:val="28"/>
        </w:rPr>
        <w:t>касае</w:t>
      </w:r>
      <w:r w:rsidR="0068603A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6A7156">
        <w:rPr>
          <w:rFonts w:ascii="Times New Roman" w:eastAsia="Times New Roman" w:hAnsi="Times New Roman" w:cs="Times New Roman"/>
          <w:sz w:val="28"/>
          <w:szCs w:val="28"/>
        </w:rPr>
        <w:t xml:space="preserve">дин от </w:t>
      </w:r>
      <w:r w:rsidR="00F25F0C">
        <w:rPr>
          <w:rFonts w:ascii="Times New Roman" w:eastAsia="Times New Roman" w:hAnsi="Times New Roman" w:cs="Times New Roman"/>
          <w:sz w:val="28"/>
          <w:szCs w:val="28"/>
        </w:rPr>
        <w:t>основните при</w:t>
      </w:r>
      <w:r w:rsidR="006A7156">
        <w:rPr>
          <w:rFonts w:ascii="Times New Roman" w:eastAsia="Times New Roman" w:hAnsi="Times New Roman" w:cs="Times New Roman"/>
          <w:sz w:val="28"/>
          <w:szCs w:val="28"/>
        </w:rPr>
        <w:t>ходои</w:t>
      </w:r>
      <w:r w:rsidR="0068603A">
        <w:rPr>
          <w:rFonts w:ascii="Times New Roman" w:eastAsia="Times New Roman" w:hAnsi="Times New Roman" w:cs="Times New Roman"/>
          <w:sz w:val="28"/>
          <w:szCs w:val="28"/>
        </w:rPr>
        <w:t>зточници в бюджета на общината -</w:t>
      </w:r>
      <w:r w:rsidR="006A7156">
        <w:rPr>
          <w:rFonts w:ascii="Times New Roman" w:eastAsia="Times New Roman" w:hAnsi="Times New Roman" w:cs="Times New Roman"/>
          <w:sz w:val="28"/>
          <w:szCs w:val="28"/>
        </w:rPr>
        <w:t xml:space="preserve"> данъка върху превозните средства. С изменението на ЗМДТ ДВ бр. 98 от 27.11.2018 г.. в сила от 01.01.2019 г., изцяло се промени концепцията за определяне на данъка, по формула включваща имуществен и екологичен компонент. Идеята за промяна е основана на принципа „замърсителя</w:t>
      </w:r>
      <w:r w:rsidR="005960E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A7156">
        <w:rPr>
          <w:rFonts w:ascii="Times New Roman" w:eastAsia="Times New Roman" w:hAnsi="Times New Roman" w:cs="Times New Roman"/>
          <w:sz w:val="28"/>
          <w:szCs w:val="28"/>
        </w:rPr>
        <w:t xml:space="preserve"> плаща“</w:t>
      </w:r>
      <w:r w:rsidR="00F25F0C">
        <w:rPr>
          <w:rFonts w:ascii="Times New Roman" w:eastAsia="Times New Roman" w:hAnsi="Times New Roman" w:cs="Times New Roman"/>
          <w:sz w:val="28"/>
          <w:szCs w:val="28"/>
        </w:rPr>
        <w:t>, като се въвеждат данъчни облекчения за собствениците на автомобили, които съответстват на високи екологични стандарти и утежнения за тези, които не съответстват на такива и замърсяват околната среда повече.</w:t>
      </w:r>
    </w:p>
    <w:p w:rsidR="008C056C" w:rsidRDefault="00DD76F5" w:rsidP="001747D4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Решения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16E" w:rsidRPr="009B21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16E" w:rsidRPr="009B216E">
        <w:rPr>
          <w:rFonts w:ascii="Times New Roman" w:eastAsia="Times New Roman" w:hAnsi="Times New Roman" w:cs="Times New Roman"/>
          <w:sz w:val="28"/>
          <w:szCs w:val="28"/>
        </w:rPr>
        <w:t>39 по Протокол № 4/ 19.12.2019 г.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B216E" w:rsidRPr="009B21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16E" w:rsidRPr="009B216E">
        <w:rPr>
          <w:rFonts w:ascii="Times New Roman" w:eastAsia="Times New Roman" w:hAnsi="Times New Roman" w:cs="Times New Roman"/>
          <w:sz w:val="28"/>
          <w:szCs w:val="28"/>
        </w:rPr>
        <w:t>68 по Протокол № 8/ 20.02.2020 г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>. на Общински съвет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>Иваново бяха приети Наредби за изменение и допълнение на</w:t>
      </w:r>
      <w:r w:rsidR="009B216E" w:rsidRPr="009B2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 xml:space="preserve">Наредба № 5 </w:t>
      </w:r>
      <w:r w:rsidR="009B216E" w:rsidRPr="009B216E">
        <w:rPr>
          <w:rFonts w:ascii="Times New Roman" w:eastAsia="Times New Roman" w:hAnsi="Times New Roman" w:cs="Times New Roman"/>
          <w:sz w:val="28"/>
          <w:szCs w:val="28"/>
        </w:rPr>
        <w:t>за опреде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 xml:space="preserve">ляне размера на местните данъци </w:t>
      </w:r>
      <w:r w:rsidR="009B216E" w:rsidRPr="009B216E">
        <w:rPr>
          <w:rFonts w:ascii="Times New Roman" w:eastAsia="Times New Roman" w:hAnsi="Times New Roman" w:cs="Times New Roman"/>
          <w:sz w:val="28"/>
          <w:szCs w:val="28"/>
        </w:rPr>
        <w:t>на територията на Община Иваново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 xml:space="preserve"> с цел синхронизацията </w:t>
      </w:r>
      <w:r w:rsidR="005960E3">
        <w:rPr>
          <w:rFonts w:ascii="Times New Roman" w:eastAsia="Times New Roman" w:hAnsi="Times New Roman" w:cs="Times New Roman"/>
          <w:sz w:val="28"/>
          <w:szCs w:val="28"/>
        </w:rPr>
        <w:t>ѝ</w:t>
      </w:r>
      <w:r w:rsidR="008C056C">
        <w:rPr>
          <w:rFonts w:ascii="Times New Roman" w:eastAsia="Times New Roman" w:hAnsi="Times New Roman" w:cs="Times New Roman"/>
          <w:sz w:val="28"/>
          <w:szCs w:val="28"/>
        </w:rPr>
        <w:t xml:space="preserve"> с измененията на ЗМДТ. </w:t>
      </w:r>
    </w:p>
    <w:p w:rsidR="00516A8D" w:rsidRDefault="008C056C" w:rsidP="001747D4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6A5D35">
        <w:rPr>
          <w:rFonts w:ascii="Times New Roman" w:eastAsia="Times New Roman" w:hAnsi="Times New Roman" w:cs="Times New Roman"/>
          <w:sz w:val="28"/>
          <w:szCs w:val="28"/>
        </w:rPr>
        <w:t>ормула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A5D35">
        <w:rPr>
          <w:rFonts w:ascii="Times New Roman" w:eastAsia="Times New Roman" w:hAnsi="Times New Roman" w:cs="Times New Roman"/>
          <w:sz w:val="28"/>
          <w:szCs w:val="28"/>
        </w:rPr>
        <w:t xml:space="preserve"> за определяне на данъка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 xml:space="preserve"> върху превозните средства</w:t>
      </w:r>
      <w:r w:rsidR="00E85259">
        <w:rPr>
          <w:rFonts w:ascii="Times New Roman" w:eastAsia="Times New Roman" w:hAnsi="Times New Roman" w:cs="Times New Roman"/>
          <w:sz w:val="28"/>
          <w:szCs w:val="28"/>
        </w:rPr>
        <w:t xml:space="preserve"> е:</w:t>
      </w:r>
      <w:r w:rsidR="006A5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6A8D" w:rsidRPr="00516A8D" w:rsidRDefault="00516A8D" w:rsidP="00516A8D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</w:pPr>
      <w:r w:rsidRPr="00516A8D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 xml:space="preserve">ГДПС = </w:t>
      </w:r>
      <w:proofErr w:type="spellStart"/>
      <w:r w:rsidRPr="00516A8D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>ИмК</w:t>
      </w:r>
      <w:proofErr w:type="spellEnd"/>
      <w:r w:rsidRPr="00516A8D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 xml:space="preserve"> x ЕК,</w:t>
      </w:r>
    </w:p>
    <w:p w:rsidR="00516A8D" w:rsidRPr="00516A8D" w:rsidRDefault="00516A8D" w:rsidP="00516A8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</w:pPr>
      <w:r w:rsidRPr="00516A8D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>където:</w:t>
      </w:r>
    </w:p>
    <w:p w:rsidR="00516A8D" w:rsidRPr="00516A8D" w:rsidRDefault="00516A8D" w:rsidP="00516A8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</w:pPr>
      <w:r w:rsidRPr="00516A8D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>ГДПС е годишният размер на данъка върху превозните средства за леки и товарни автомобили с технически допустима максимална маса не повече от 3,5 т;</w:t>
      </w:r>
    </w:p>
    <w:p w:rsidR="00516A8D" w:rsidRPr="00516A8D" w:rsidRDefault="00516A8D" w:rsidP="00516A8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</w:pPr>
      <w:proofErr w:type="spellStart"/>
      <w:r w:rsidRPr="00516A8D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>ИмК</w:t>
      </w:r>
      <w:proofErr w:type="spellEnd"/>
      <w:r w:rsidRPr="00516A8D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 xml:space="preserve"> е имуществен компонент </w:t>
      </w:r>
    </w:p>
    <w:p w:rsidR="00516A8D" w:rsidRDefault="00516A8D" w:rsidP="00516A8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>ЕК е екологичен компонент</w:t>
      </w:r>
    </w:p>
    <w:p w:rsidR="00516A8D" w:rsidRPr="00516A8D" w:rsidRDefault="00516A8D" w:rsidP="00516A8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</w:pPr>
    </w:p>
    <w:p w:rsidR="00516A8D" w:rsidRPr="00516A8D" w:rsidRDefault="00516A8D" w:rsidP="00516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</w:pPr>
    </w:p>
    <w:p w:rsidR="00516A8D" w:rsidRPr="00516A8D" w:rsidRDefault="001810EB" w:rsidP="00516A8D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>И</w:t>
      </w:r>
      <w:r w:rsidR="00516A8D" w:rsidRPr="00516A8D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 xml:space="preserve">мущественият компонент се определя </w:t>
      </w:r>
      <w:r w:rsidR="00E8525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>съобразно</w:t>
      </w:r>
      <w:r w:rsidR="00516A8D" w:rsidRPr="00516A8D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 xml:space="preserve"> мо</w:t>
      </w:r>
      <w:r w:rsidR="00E85259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>щността на двигателя, коригиран</w:t>
      </w:r>
      <w:r w:rsidR="00516A8D" w:rsidRPr="00516A8D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 xml:space="preserve"> с коефициент в зависимост от годината на производство на автомобила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>.</w:t>
      </w:r>
    </w:p>
    <w:p w:rsidR="00C42D9F" w:rsidRPr="00B053FA" w:rsidRDefault="001810EB" w:rsidP="00B053FA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>Е</w:t>
      </w:r>
      <w:r w:rsidR="00516A8D" w:rsidRPr="00516A8D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 xml:space="preserve">кологичният компонент се определя в зависимост от екологичната категория на автомобила в </w:t>
      </w:r>
      <w:r w:rsidR="00B053F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EFEFE"/>
          <w:lang w:eastAsia="bg-BG"/>
        </w:rPr>
        <w:t>границите, определени в чл. 55, т. 2 от ЗМДТ.</w:t>
      </w:r>
    </w:p>
    <w:p w:rsidR="00E85259" w:rsidRDefault="006A5D35" w:rsidP="009B2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правомощията на Общинския съвет е да определи имуществения компонент в едната част – стойността в зависимост от мощността на двигателя и екологичния компонент.</w:t>
      </w:r>
      <w:r w:rsidR="00AE5D16">
        <w:rPr>
          <w:rFonts w:ascii="Times New Roman" w:eastAsia="Times New Roman" w:hAnsi="Times New Roman" w:cs="Times New Roman"/>
          <w:sz w:val="28"/>
          <w:szCs w:val="28"/>
        </w:rPr>
        <w:t xml:space="preserve"> Втората част от имуществения компонент се определя от законодателя без право на общинските съвети да гласуват неговия размер. Към настоящия момент и двата компонента от данъка</w:t>
      </w:r>
      <w:r w:rsidR="00A23F6E">
        <w:rPr>
          <w:rFonts w:ascii="Times New Roman" w:eastAsia="Times New Roman" w:hAnsi="Times New Roman" w:cs="Times New Roman"/>
          <w:sz w:val="28"/>
          <w:szCs w:val="28"/>
        </w:rPr>
        <w:t>, които се определят от Общинския съвет, са с най-ниски стойности, което, не отговаря в достатъчна степен на новата концепция за определяне на данъка. Имайки предвид мотивите на законодателя за въвеждането на екологичния компонент, разм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>ерите</w:t>
      </w:r>
      <w:r w:rsidR="00A23F6E">
        <w:rPr>
          <w:rFonts w:ascii="Times New Roman" w:eastAsia="Times New Roman" w:hAnsi="Times New Roman" w:cs="Times New Roman"/>
          <w:sz w:val="28"/>
          <w:szCs w:val="28"/>
        </w:rPr>
        <w:t xml:space="preserve"> на коефиц</w:t>
      </w:r>
      <w:r w:rsidR="000974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3F6E">
        <w:rPr>
          <w:rFonts w:ascii="Times New Roman" w:eastAsia="Times New Roman" w:hAnsi="Times New Roman" w:cs="Times New Roman"/>
          <w:sz w:val="28"/>
          <w:szCs w:val="28"/>
        </w:rPr>
        <w:t>ентите за екологична категория следва да бъдат</w:t>
      </w:r>
      <w:r w:rsidR="009B216E">
        <w:rPr>
          <w:rFonts w:ascii="Times New Roman" w:eastAsia="Times New Roman" w:hAnsi="Times New Roman" w:cs="Times New Roman"/>
          <w:sz w:val="28"/>
          <w:szCs w:val="28"/>
        </w:rPr>
        <w:t xml:space="preserve"> увеличавани</w:t>
      </w:r>
      <w:r w:rsidR="00A23F6E">
        <w:rPr>
          <w:rFonts w:ascii="Times New Roman" w:eastAsia="Times New Roman" w:hAnsi="Times New Roman" w:cs="Times New Roman"/>
          <w:sz w:val="28"/>
          <w:szCs w:val="28"/>
        </w:rPr>
        <w:t xml:space="preserve"> поетапно във времето. </w:t>
      </w:r>
      <w:r w:rsidR="00E85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7156" w:rsidRDefault="00E85259" w:rsidP="009B2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Въз основа на гореизложеното, настоящото предложение за изменение е свързано в повишаване на стойностите на екологичния компонент, като </w:t>
      </w:r>
      <w:r w:rsidR="00B053FA">
        <w:rPr>
          <w:rFonts w:ascii="Times New Roman" w:eastAsia="Times New Roman" w:hAnsi="Times New Roman" w:cs="Times New Roman"/>
          <w:sz w:val="28"/>
          <w:szCs w:val="28"/>
        </w:rPr>
        <w:t>в таблицата по-долу се описват подробно сегашните стойности на коефициента, предлаганите такива и увеличението, изразено в проценти.</w:t>
      </w:r>
    </w:p>
    <w:p w:rsidR="00B053FA" w:rsidRDefault="00B053FA" w:rsidP="00B0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7"/>
        <w:gridCol w:w="1843"/>
      </w:tblGrid>
      <w:tr w:rsidR="00B053FA" w:rsidTr="00B053FA">
        <w:trPr>
          <w:trHeight w:val="1971"/>
        </w:trPr>
        <w:tc>
          <w:tcPr>
            <w:tcW w:w="1842" w:type="dxa"/>
          </w:tcPr>
          <w:p w:rsidR="00B053FA" w:rsidRDefault="00B053FA" w:rsidP="00B05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Екологична категория</w:t>
            </w:r>
          </w:p>
        </w:tc>
        <w:tc>
          <w:tcPr>
            <w:tcW w:w="1842" w:type="dxa"/>
          </w:tcPr>
          <w:p w:rsidR="00B053FA" w:rsidRPr="00B053FA" w:rsidRDefault="00B053FA" w:rsidP="00B0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05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Коефициент</w:t>
            </w:r>
          </w:p>
          <w:p w:rsidR="00B053FA" w:rsidRDefault="00B053FA" w:rsidP="00B053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  <w:r w:rsidRPr="00B05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от- до</w:t>
            </w:r>
          </w:p>
          <w:p w:rsidR="00B053FA" w:rsidRDefault="00B053FA" w:rsidP="00B05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определен в чл. 55, т. 2 от ЗМДТ</w:t>
            </w:r>
          </w:p>
        </w:tc>
        <w:tc>
          <w:tcPr>
            <w:tcW w:w="1842" w:type="dxa"/>
          </w:tcPr>
          <w:p w:rsidR="00B053FA" w:rsidRDefault="00B053FA" w:rsidP="00B05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Коефициент съгласно действащата Наредба № 5</w:t>
            </w:r>
          </w:p>
        </w:tc>
        <w:tc>
          <w:tcPr>
            <w:tcW w:w="1847" w:type="dxa"/>
          </w:tcPr>
          <w:p w:rsidR="00B053FA" w:rsidRDefault="00B053FA" w:rsidP="00B05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 xml:space="preserve"> за коефициент</w:t>
            </w:r>
          </w:p>
        </w:tc>
        <w:tc>
          <w:tcPr>
            <w:tcW w:w="1843" w:type="dxa"/>
          </w:tcPr>
          <w:p w:rsidR="00B053FA" w:rsidRDefault="00B053FA" w:rsidP="00B053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  <w:t>Увеличение  в %</w:t>
            </w:r>
          </w:p>
        </w:tc>
      </w:tr>
      <w:tr w:rsidR="00B053FA" w:rsidTr="00887BCF">
        <w:trPr>
          <w:trHeight w:val="2410"/>
        </w:trPr>
        <w:tc>
          <w:tcPr>
            <w:tcW w:w="1842" w:type="dxa"/>
          </w:tcPr>
          <w:p w:rsidR="00B053FA" w:rsidRDefault="00B053FA" w:rsidP="0088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053FA">
              <w:rPr>
                <w:rFonts w:ascii="Times New Roman" w:eastAsia="Times New Roman" w:hAnsi="Times New Roman" w:cs="Times New Roman"/>
                <w:sz w:val="28"/>
                <w:szCs w:val="28"/>
              </w:rPr>
              <w:t>ез екологична категория, с екологични категории "Евро 1" и "Евро 2"</w:t>
            </w:r>
          </w:p>
        </w:tc>
        <w:tc>
          <w:tcPr>
            <w:tcW w:w="1842" w:type="dxa"/>
          </w:tcPr>
          <w:p w:rsidR="00B053FA" w:rsidRDefault="00B053FA" w:rsidP="00B0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Default="00B053FA" w:rsidP="00B0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Default="00B053FA" w:rsidP="00B0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Pr="00B053FA" w:rsidRDefault="00B053FA" w:rsidP="00B0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3FA">
              <w:rPr>
                <w:rFonts w:ascii="Times New Roman" w:hAnsi="Times New Roman" w:cs="Times New Roman"/>
                <w:sz w:val="28"/>
                <w:szCs w:val="28"/>
              </w:rPr>
              <w:t>1,10 - 1,40</w:t>
            </w:r>
          </w:p>
        </w:tc>
        <w:tc>
          <w:tcPr>
            <w:tcW w:w="1842" w:type="dxa"/>
          </w:tcPr>
          <w:p w:rsidR="00B053FA" w:rsidRDefault="00B053FA" w:rsidP="00B05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Default="00B053FA" w:rsidP="00B05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Default="00B053FA" w:rsidP="00B05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Pr="00B053FA" w:rsidRDefault="00B053FA" w:rsidP="00B0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3FA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847" w:type="dxa"/>
          </w:tcPr>
          <w:p w:rsidR="00B053FA" w:rsidRDefault="00B053FA" w:rsidP="00B05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Default="00B053FA" w:rsidP="00B05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Default="00B053FA" w:rsidP="00B05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Pr="00B053FA" w:rsidRDefault="00B053FA" w:rsidP="00B0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3FA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843" w:type="dxa"/>
          </w:tcPr>
          <w:p w:rsidR="00B053FA" w:rsidRDefault="00B053FA" w:rsidP="00B05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Default="00B053FA" w:rsidP="00B05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Default="00B053FA" w:rsidP="00B05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3FA" w:rsidRPr="00B053FA" w:rsidRDefault="00B053FA" w:rsidP="00B0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3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053FA" w:rsidTr="00B053FA">
        <w:trPr>
          <w:trHeight w:val="548"/>
        </w:trPr>
        <w:tc>
          <w:tcPr>
            <w:tcW w:w="1842" w:type="dxa"/>
          </w:tcPr>
          <w:p w:rsidR="00B053FA" w:rsidRDefault="00B053FA" w:rsidP="0088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FA">
              <w:rPr>
                <w:rFonts w:ascii="Times New Roman" w:eastAsia="Times New Roman" w:hAnsi="Times New Roman" w:cs="Times New Roman"/>
                <w:sz w:val="28"/>
                <w:szCs w:val="28"/>
              </w:rPr>
              <w:t>"Евро 3"</w:t>
            </w:r>
          </w:p>
        </w:tc>
        <w:tc>
          <w:tcPr>
            <w:tcW w:w="1842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1,00 - 1,10</w:t>
            </w:r>
          </w:p>
        </w:tc>
        <w:tc>
          <w:tcPr>
            <w:tcW w:w="1842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847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843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53FA" w:rsidTr="00B053FA">
        <w:trPr>
          <w:trHeight w:val="555"/>
        </w:trPr>
        <w:tc>
          <w:tcPr>
            <w:tcW w:w="1842" w:type="dxa"/>
          </w:tcPr>
          <w:p w:rsidR="00B053FA" w:rsidRDefault="00B053FA" w:rsidP="0088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FA">
              <w:rPr>
                <w:rFonts w:ascii="Times New Roman" w:eastAsia="Times New Roman" w:hAnsi="Times New Roman" w:cs="Times New Roman"/>
                <w:sz w:val="28"/>
                <w:szCs w:val="28"/>
              </w:rPr>
              <w:t>"Евро 4"</w:t>
            </w:r>
          </w:p>
        </w:tc>
        <w:tc>
          <w:tcPr>
            <w:tcW w:w="1842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0,80 - 1,00</w:t>
            </w:r>
          </w:p>
        </w:tc>
        <w:tc>
          <w:tcPr>
            <w:tcW w:w="1842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847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1843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53FA" w:rsidTr="00B053FA">
        <w:trPr>
          <w:trHeight w:val="561"/>
        </w:trPr>
        <w:tc>
          <w:tcPr>
            <w:tcW w:w="1842" w:type="dxa"/>
          </w:tcPr>
          <w:p w:rsidR="00B053FA" w:rsidRDefault="00B053FA" w:rsidP="0088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FA">
              <w:rPr>
                <w:rFonts w:ascii="Times New Roman" w:eastAsia="Times New Roman" w:hAnsi="Times New Roman" w:cs="Times New Roman"/>
                <w:sz w:val="28"/>
                <w:szCs w:val="28"/>
              </w:rPr>
              <w:t>"Евро 5"</w:t>
            </w:r>
          </w:p>
        </w:tc>
        <w:tc>
          <w:tcPr>
            <w:tcW w:w="1842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0,60 - 0,80</w:t>
            </w:r>
          </w:p>
        </w:tc>
        <w:tc>
          <w:tcPr>
            <w:tcW w:w="1842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1847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843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53FA" w:rsidTr="00B053FA">
        <w:tc>
          <w:tcPr>
            <w:tcW w:w="1842" w:type="dxa"/>
          </w:tcPr>
          <w:p w:rsidR="00B053FA" w:rsidRDefault="00B053FA" w:rsidP="00887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3FA">
              <w:rPr>
                <w:rFonts w:ascii="Times New Roman" w:eastAsia="Times New Roman" w:hAnsi="Times New Roman" w:cs="Times New Roman"/>
                <w:sz w:val="28"/>
                <w:szCs w:val="28"/>
              </w:rPr>
              <w:t>"Евро 6" и "ЕЕV"</w:t>
            </w:r>
          </w:p>
        </w:tc>
        <w:tc>
          <w:tcPr>
            <w:tcW w:w="1842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0,40 - 0,60</w:t>
            </w:r>
          </w:p>
        </w:tc>
        <w:tc>
          <w:tcPr>
            <w:tcW w:w="1842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847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843" w:type="dxa"/>
          </w:tcPr>
          <w:p w:rsidR="00B053FA" w:rsidRPr="00475E25" w:rsidRDefault="00B053FA" w:rsidP="0047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2486B" w:rsidRDefault="00B2486B" w:rsidP="00475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приемане на така описаните предложения за повишаване коефиц</w:t>
      </w:r>
      <w:r w:rsidR="005960E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ентите за екологична</w:t>
      </w:r>
      <w:r w:rsidR="00475E25"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категория, </w:t>
      </w:r>
      <w:r w:rsidR="00102A4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13694">
        <w:rPr>
          <w:rFonts w:ascii="Times New Roman" w:eastAsia="Times New Roman" w:hAnsi="Times New Roman" w:cs="Times New Roman"/>
          <w:sz w:val="28"/>
          <w:szCs w:val="28"/>
        </w:rPr>
        <w:t xml:space="preserve">а по-голямата част от собствениците увеличението ще бъде в рамките на няколко лева, но за притежаващите автомобили с по-голяма мощност на двигателя, които са без или с ниска екологична категория, разликата ще бъде по-осезаема. </w:t>
      </w:r>
    </w:p>
    <w:tbl>
      <w:tblPr>
        <w:tblW w:w="102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2127"/>
        <w:gridCol w:w="708"/>
        <w:gridCol w:w="851"/>
        <w:gridCol w:w="852"/>
        <w:gridCol w:w="849"/>
        <w:gridCol w:w="586"/>
        <w:gridCol w:w="1032"/>
        <w:gridCol w:w="725"/>
        <w:gridCol w:w="773"/>
      </w:tblGrid>
      <w:tr w:rsidR="00D46ED6" w:rsidRPr="009D5164" w:rsidTr="00E8728F">
        <w:trPr>
          <w:trHeight w:val="290"/>
        </w:trPr>
        <w:tc>
          <w:tcPr>
            <w:tcW w:w="102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6ED6" w:rsidRDefault="00D46ED6" w:rsidP="009D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D516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</w:t>
            </w:r>
            <w:r w:rsidR="00475E2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D51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1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за промяна</w:t>
            </w:r>
            <w:r w:rsidR="009D5164" w:rsidRPr="009D51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т</w:t>
            </w:r>
            <w:r w:rsidRPr="009D51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 </w:t>
            </w:r>
            <w:r w:rsidR="00475E2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 </w:t>
            </w:r>
            <w:r w:rsidRPr="009D51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данък</w:t>
            </w:r>
            <w:r w:rsidR="00475E2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Pr="009D51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върху превозните средства  при повишаване на </w:t>
            </w:r>
            <w:r w:rsidRPr="009D516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екологичен  коефициент</w:t>
            </w:r>
            <w:r w:rsidR="00475E2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са дадени в таблицата по-долу. </w:t>
            </w:r>
          </w:p>
          <w:p w:rsidR="00E8728F" w:rsidRPr="009D5164" w:rsidRDefault="00E8728F" w:rsidP="009D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728F" w:rsidRPr="00475E25" w:rsidRDefault="00E8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Марка/модел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8728F" w:rsidRPr="00475E25" w:rsidRDefault="00475E25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E8728F"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производство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28F" w:rsidRPr="00475E25" w:rsidRDefault="00475E25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Мощност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="00475E2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коефициент</w:t>
            </w: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Данък</w:t>
            </w:r>
            <w:r w:rsid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2020 г.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прогноза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Данък</w:t>
            </w:r>
            <w:r w:rsid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прогноза</w:t>
            </w: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728F" w:rsidRPr="00475E25" w:rsidRDefault="00475E25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в лв.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28F" w:rsidRPr="00475E25" w:rsidRDefault="00475E25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на ЕК в %</w:t>
            </w:r>
          </w:p>
        </w:tc>
      </w:tr>
      <w:tr w:rsidR="00E8728F" w:rsidTr="003328CA">
        <w:trPr>
          <w:trHeight w:val="80"/>
        </w:trPr>
        <w:tc>
          <w:tcPr>
            <w:tcW w:w="17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728F" w:rsidRPr="00475E25" w:rsidRDefault="00E8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8F" w:rsidRPr="00475E25" w:rsidRDefault="00E8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8728F" w:rsidRPr="00475E25" w:rsidRDefault="00E8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8F" w:rsidRPr="00475E25" w:rsidRDefault="00E8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8F" w:rsidRPr="00475E25" w:rsidRDefault="00E8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8728F" w:rsidRPr="00475E25" w:rsidRDefault="00E8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28F" w:rsidRPr="00475E25" w:rsidRDefault="00E8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8F" w:rsidRPr="00475E25" w:rsidRDefault="00E8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8728F" w:rsidRPr="00475E25" w:rsidRDefault="00E87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728F" w:rsidRPr="00475E25" w:rsidRDefault="00E87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ШКОДА ФЕЛИЦИЯ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1996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/над 20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г./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18,27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ОПЕЛ АСТРА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1994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/над 20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24,68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ОПЕЛ КОРСА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1993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/над 20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21,72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3,62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СИТРОЕН БЕРЛИНГО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до 20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   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19,45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728F" w:rsidTr="003328CA">
        <w:trPr>
          <w:trHeight w:val="76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СИТРОЕН БЕРЛИНГО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до 20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   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19,45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728F" w:rsidTr="003328CA">
        <w:trPr>
          <w:trHeight w:val="405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 "2104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1994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/над 20г./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23,20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3,86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РЕНО ЕСПАС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1997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/над 20г./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110,47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132,57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22,10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ОПЕЛ ЗАФИРА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до 15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 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100,67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110,74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 "НИВА-2121"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1993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/над 20г./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41,16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49,40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8,24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2105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1992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/над 20г./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23,20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3,86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ВОЛВО 940ТД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1995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/над 20г./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169,67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203,60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33,93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21214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до 15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 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37,07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21053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до 20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19,45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23,34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3,89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МЕРЦЕДЕС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1991 г./над 20г./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119,79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143,75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23,96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до 20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 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19,75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3,29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ШКОДА ОКТАВИЯ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до 15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 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67,76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74,54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6,78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ПЕЖО ПАРТНЕР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до 20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 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39,20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3,56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ДАЧИЯ ДОКЕР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г. 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 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75,90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ДАЧИЯ ДОКЕР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г. 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 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75,90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79,70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МЕРЦЕДЕС Е 200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1989 г./над 20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115,80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138,96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23,16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 2105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1990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/над 20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23,20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3,86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ПЕЖО РАНЧ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/над 20 г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 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25,18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4,20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ШКОДА  СУПЕРБ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г. 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 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158,42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166,35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7,93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8728F" w:rsidTr="003328CA">
        <w:trPr>
          <w:trHeight w:val="29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ДЖИП ЧЕРОКИ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475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 г.</w:t>
            </w:r>
            <w:r w:rsidR="00332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/над 20 г</w:t>
            </w: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./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317,50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381,00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3328CA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28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63,50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728F" w:rsidRPr="00475E25" w:rsidRDefault="00E8728F" w:rsidP="00332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5E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46ED6" w:rsidTr="003328CA">
        <w:trPr>
          <w:trHeight w:val="29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46ED6" w:rsidRPr="00475E25" w:rsidRDefault="00D46E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46ED6" w:rsidRPr="00475E25" w:rsidRDefault="00D46E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46ED6" w:rsidRPr="00475E25" w:rsidRDefault="00D46E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46ED6" w:rsidRPr="00475E25" w:rsidRDefault="00D46E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D46ED6" w:rsidRPr="00475E25" w:rsidRDefault="00D46E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6ED6" w:rsidRPr="00475E25" w:rsidRDefault="00D46E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46ED6" w:rsidRPr="00475E25" w:rsidRDefault="00D46E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D46ED6" w:rsidRPr="00475E25" w:rsidRDefault="00D46E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D46ED6" w:rsidRPr="00475E25" w:rsidRDefault="00D46E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46ED6" w:rsidRPr="00475E25" w:rsidRDefault="00D46E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2A45" w:rsidRDefault="00102A45" w:rsidP="00332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D22" w:rsidRDefault="00BA5D22" w:rsidP="00A23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промяната на екологичния компонент ще се насърчат собствениците, които притежават автомобили с по-висок екологичен клас и ще се увеличи данъка на собствениците с по-нисък т</w:t>
      </w:r>
      <w:r w:rsidR="00EC7B22">
        <w:rPr>
          <w:rFonts w:ascii="Times New Roman" w:eastAsia="Times New Roman" w:hAnsi="Times New Roman" w:cs="Times New Roman"/>
          <w:sz w:val="28"/>
          <w:szCs w:val="28"/>
        </w:rPr>
        <w:t>акъв, което е политика, залегнал</w:t>
      </w:r>
      <w:r>
        <w:rPr>
          <w:rFonts w:ascii="Times New Roman" w:eastAsia="Times New Roman" w:hAnsi="Times New Roman" w:cs="Times New Roman"/>
          <w:sz w:val="28"/>
          <w:szCs w:val="28"/>
        </w:rPr>
        <w:t>а в ЗМДТ и е в съответствие с европейските политики за по-чист атмосферен въздух и намаляване на свързаните с това заболявания.</w:t>
      </w:r>
    </w:p>
    <w:p w:rsidR="00BA5D22" w:rsidRDefault="00FC2728" w:rsidP="00A23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Настоящото предложение</w:t>
      </w:r>
      <w:r w:rsidR="00BA5D22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повишаване на коефиц</w:t>
      </w:r>
      <w:r w:rsidR="00E6241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ента на екологичния компонент и съответно</w:t>
      </w:r>
      <w:r w:rsidR="00BA5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повишаване</w:t>
      </w:r>
      <w:r w:rsidR="00BA5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данъка за превозни средства би довело </w:t>
      </w:r>
      <w:r w:rsidR="00107CE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до устойчив ръст на приходната част на Община Иваново, като очаквания облог за 2021 г. е в размер на 40 186 лв. повече от този за 2020 г.</w:t>
      </w:r>
      <w:r w:rsidR="001D6167">
        <w:rPr>
          <w:rFonts w:ascii="Times New Roman" w:eastAsia="Times New Roman" w:hAnsi="Times New Roman" w:cs="Times New Roman"/>
          <w:sz w:val="28"/>
          <w:szCs w:val="28"/>
        </w:rPr>
        <w:t xml:space="preserve"> Средствата ще бъдат използвани за благоустройство, култура, социални дейности, екология, транспорт, инфраструктурни проекти и други. </w:t>
      </w:r>
    </w:p>
    <w:p w:rsidR="00C26AC8" w:rsidRPr="00C26AC8" w:rsidRDefault="00C26AC8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AC8" w:rsidRPr="00C26AC8" w:rsidRDefault="00C26AC8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6A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26AC8">
        <w:rPr>
          <w:rFonts w:ascii="Times New Roman" w:eastAsia="Times New Roman" w:hAnsi="Times New Roman" w:cs="Times New Roman"/>
          <w:sz w:val="28"/>
          <w:szCs w:val="28"/>
        </w:rPr>
        <w:tab/>
      </w:r>
      <w:r w:rsidRPr="00C26AC8">
        <w:rPr>
          <w:rFonts w:ascii="Times New Roman" w:eastAsia="Times New Roman" w:hAnsi="Times New Roman" w:cs="Times New Roman"/>
          <w:b/>
          <w:sz w:val="28"/>
          <w:szCs w:val="28"/>
        </w:rPr>
        <w:t>Предвид гореизложеното считам, че Наредба № 5 за определяне размера на местните данъци на територията на Община Иваново следва да бъде изменена и допълнена.</w:t>
      </w:r>
    </w:p>
    <w:p w:rsidR="00C26AC8" w:rsidRPr="00C26AC8" w:rsidRDefault="00C26AC8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26AC8" w:rsidRPr="00C26AC8" w:rsidRDefault="00C26AC8" w:rsidP="0088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26AC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C26AC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C26AC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</w:t>
      </w:r>
      <w:r w:rsidRPr="00C26AC8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прилагането на новата наредба не са необходими финансови средства.</w:t>
      </w:r>
    </w:p>
    <w:p w:rsidR="00C26AC8" w:rsidRPr="00C26AC8" w:rsidRDefault="00C26AC8" w:rsidP="0088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26AC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C26AC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C26AC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2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Очакваните резултати от прилагането на актуализирания вариант на наредбата са свързани с </w:t>
      </w:r>
      <w:r w:rsidR="00107CE1">
        <w:rPr>
          <w:rFonts w:ascii="Times New Roman" w:eastAsia="Times New Roman" w:hAnsi="Times New Roman" w:cs="Times New Roman"/>
          <w:sz w:val="28"/>
          <w:szCs w:val="28"/>
          <w:lang w:eastAsia="bg-BG"/>
        </w:rPr>
        <w:t>увеличаване приходите на Общината и подобряване околната среда</w:t>
      </w:r>
      <w:r w:rsidR="0042677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в частност </w:t>
      </w:r>
      <w:r w:rsidR="00EC7B22">
        <w:rPr>
          <w:rFonts w:ascii="Times New Roman" w:eastAsia="Times New Roman" w:hAnsi="Times New Roman" w:cs="Times New Roman"/>
          <w:sz w:val="28"/>
          <w:szCs w:val="28"/>
          <w:lang w:eastAsia="bg-BG"/>
        </w:rPr>
        <w:t>атмосферния</w:t>
      </w:r>
      <w:r w:rsidR="0042677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въз</w:t>
      </w:r>
      <w:r w:rsidR="00107CE1">
        <w:rPr>
          <w:rFonts w:ascii="Times New Roman" w:eastAsia="Times New Roman" w:hAnsi="Times New Roman" w:cs="Times New Roman"/>
          <w:sz w:val="28"/>
          <w:szCs w:val="28"/>
          <w:lang w:eastAsia="bg-BG"/>
        </w:rPr>
        <w:t>дух</w:t>
      </w:r>
      <w:r w:rsidRPr="00C26AC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C26AC8" w:rsidRDefault="00C26AC8" w:rsidP="0088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26AC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  <w:r w:rsidRPr="00C2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Изменението на наредбата </w:t>
      </w:r>
      <w:r w:rsidR="00107CE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изготвено в съответствие с </w:t>
      </w:r>
      <w:r w:rsidR="00DA7084">
        <w:rPr>
          <w:rFonts w:ascii="Times New Roman" w:eastAsia="Times New Roman" w:hAnsi="Times New Roman" w:cs="Times New Roman"/>
          <w:sz w:val="28"/>
          <w:szCs w:val="28"/>
          <w:lang w:eastAsia="bg-BG"/>
        </w:rPr>
        <w:t>националното и Европейското законодателство</w:t>
      </w:r>
      <w:r w:rsidR="00EC7B22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EC7B22" w:rsidRPr="00C26AC8" w:rsidRDefault="00EC7B22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6AC8" w:rsidRPr="00C26AC8" w:rsidRDefault="00C26AC8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C8">
        <w:rPr>
          <w:rFonts w:ascii="Times New Roman" w:eastAsia="Times New Roman" w:hAnsi="Times New Roman" w:cs="Times New Roman"/>
          <w:sz w:val="28"/>
          <w:szCs w:val="28"/>
        </w:rPr>
        <w:t>ПРОЕКТ на Наредба за изменение и допълнение на Наредба</w:t>
      </w:r>
      <w:r w:rsidRPr="00C26AC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№ 5</w:t>
      </w:r>
      <w:r w:rsidRPr="00C26AC8">
        <w:rPr>
          <w:rFonts w:ascii="Times New Roman" w:eastAsia="Times New Roman" w:hAnsi="Times New Roman" w:cs="Times New Roman"/>
          <w:sz w:val="28"/>
          <w:szCs w:val="28"/>
        </w:rPr>
        <w:t xml:space="preserve"> за определяне размера на местните данъци на територията на Община Иваново</w:t>
      </w:r>
    </w:p>
    <w:p w:rsidR="00C26AC8" w:rsidRPr="00C26AC8" w:rsidRDefault="00C26AC8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AC8" w:rsidRDefault="00C26AC8" w:rsidP="00332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AC8">
        <w:rPr>
          <w:rFonts w:ascii="Times New Roman" w:eastAsia="Times New Roman" w:hAnsi="Times New Roman" w:cs="Times New Roman"/>
          <w:b/>
          <w:sz w:val="28"/>
          <w:szCs w:val="28"/>
        </w:rPr>
        <w:t xml:space="preserve">§ </w:t>
      </w:r>
      <w:r w:rsidR="00E6241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26AC8">
        <w:rPr>
          <w:rFonts w:ascii="Times New Roman" w:eastAsia="Times New Roman" w:hAnsi="Times New Roman" w:cs="Times New Roman"/>
          <w:sz w:val="28"/>
          <w:szCs w:val="28"/>
        </w:rPr>
        <w:t xml:space="preserve">. В Глава втора, раздел </w:t>
      </w:r>
      <w:r w:rsidRPr="00C26AC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26AC8">
        <w:rPr>
          <w:rFonts w:ascii="Times New Roman" w:eastAsia="Times New Roman" w:hAnsi="Times New Roman" w:cs="Times New Roman"/>
          <w:sz w:val="28"/>
          <w:szCs w:val="28"/>
        </w:rPr>
        <w:t xml:space="preserve"> „Данък върху превозните средства“, </w:t>
      </w:r>
      <w:r w:rsidR="00330544">
        <w:rPr>
          <w:rFonts w:ascii="Times New Roman" w:eastAsia="Times New Roman" w:hAnsi="Times New Roman" w:cs="Times New Roman"/>
          <w:b/>
          <w:sz w:val="28"/>
          <w:szCs w:val="28"/>
        </w:rPr>
        <w:t>чл. 41, ал. 1, буква „б“</w:t>
      </w:r>
      <w:r w:rsidRPr="00C26AC8">
        <w:rPr>
          <w:rFonts w:ascii="Times New Roman" w:eastAsia="Times New Roman" w:hAnsi="Times New Roman" w:cs="Times New Roman"/>
          <w:b/>
          <w:sz w:val="28"/>
          <w:szCs w:val="28"/>
        </w:rPr>
        <w:t xml:space="preserve"> се изменя</w:t>
      </w:r>
      <w:r w:rsidRPr="00C26AC8">
        <w:rPr>
          <w:rFonts w:ascii="Times New Roman" w:eastAsia="Times New Roman" w:hAnsi="Times New Roman" w:cs="Times New Roman"/>
          <w:sz w:val="28"/>
          <w:szCs w:val="28"/>
        </w:rPr>
        <w:t xml:space="preserve">, както следва: </w:t>
      </w:r>
    </w:p>
    <w:p w:rsidR="00330544" w:rsidRDefault="00330544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544" w:rsidRPr="00330544" w:rsidRDefault="00330544" w:rsidP="00330544">
      <w:pPr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330544">
        <w:rPr>
          <w:rFonts w:ascii="Times New Roman" w:eastAsia="PMingLiU" w:hAnsi="Times New Roman" w:cs="Times New Roman"/>
          <w:sz w:val="28"/>
          <w:szCs w:val="28"/>
          <w:lang w:eastAsia="zh-TW"/>
        </w:rPr>
        <w:t>б)  Екологичният компонент се определя в зависимост от екологичната категория на автомобила, като коефиц</w:t>
      </w:r>
      <w:r w:rsidR="00E62419">
        <w:rPr>
          <w:rFonts w:ascii="Times New Roman" w:eastAsia="PMingLiU" w:hAnsi="Times New Roman" w:cs="Times New Roman"/>
          <w:sz w:val="28"/>
          <w:szCs w:val="28"/>
          <w:lang w:eastAsia="zh-TW"/>
        </w:rPr>
        <w:t>и</w:t>
      </w:r>
      <w:r w:rsidRPr="00330544">
        <w:rPr>
          <w:rFonts w:ascii="Times New Roman" w:eastAsia="PMingLiU" w:hAnsi="Times New Roman" w:cs="Times New Roman"/>
          <w:sz w:val="28"/>
          <w:szCs w:val="28"/>
          <w:lang w:eastAsia="zh-TW"/>
        </w:rPr>
        <w:t>ента се определя както следва:</w:t>
      </w:r>
    </w:p>
    <w:p w:rsidR="00330544" w:rsidRPr="00330544" w:rsidRDefault="00330544" w:rsidP="00330544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30544">
        <w:rPr>
          <w:rFonts w:ascii="Times New Roman" w:eastAsia="PMingLiU" w:hAnsi="Times New Roman" w:cs="Times New Roman"/>
          <w:sz w:val="28"/>
          <w:szCs w:val="28"/>
          <w:lang w:eastAsia="zh-TW"/>
        </w:rPr>
        <w:t>•</w:t>
      </w:r>
      <w:r w:rsidRPr="00330544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>без екологична категория, с екологични кате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гории „Евро 1“ и „Евро 2“ – </w:t>
      </w:r>
      <w:r w:rsidRPr="00330544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1,32</w:t>
      </w:r>
    </w:p>
    <w:p w:rsidR="00330544" w:rsidRPr="00330544" w:rsidRDefault="00330544" w:rsidP="00330544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30544">
        <w:rPr>
          <w:rFonts w:ascii="Times New Roman" w:eastAsia="PMingLiU" w:hAnsi="Times New Roman" w:cs="Times New Roman"/>
          <w:sz w:val="28"/>
          <w:szCs w:val="28"/>
          <w:lang w:eastAsia="zh-TW"/>
        </w:rPr>
        <w:t>•</w:t>
      </w:r>
      <w:r w:rsidRPr="00330544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„Евро 3“ – </w:t>
      </w:r>
      <w:r w:rsidRPr="00330544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1,10</w:t>
      </w:r>
    </w:p>
    <w:p w:rsidR="00330544" w:rsidRPr="00330544" w:rsidRDefault="00330544" w:rsidP="00330544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•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„Евро 4“ – </w:t>
      </w:r>
      <w:r w:rsidRPr="00330544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0,88</w:t>
      </w:r>
    </w:p>
    <w:p w:rsidR="00330544" w:rsidRPr="00330544" w:rsidRDefault="00C27A3A" w:rsidP="00330544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•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„Евро 5“ – </w:t>
      </w:r>
      <w:r w:rsidRPr="00C27A3A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0,63</w:t>
      </w:r>
      <w:r w:rsidR="00330544" w:rsidRPr="00330544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</w:p>
    <w:p w:rsidR="00330544" w:rsidRPr="00330544" w:rsidRDefault="00C27A3A" w:rsidP="00330544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•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„Евро 6“ и „ЕЕV” – </w:t>
      </w:r>
      <w:r w:rsidRPr="00C27A3A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0,42</w:t>
      </w:r>
      <w:r w:rsidRPr="00C27A3A">
        <w:rPr>
          <w:rFonts w:ascii="Times New Roman" w:eastAsia="PMingLiU" w:hAnsi="Times New Roman" w:cs="Times New Roman"/>
          <w:sz w:val="28"/>
          <w:szCs w:val="28"/>
          <w:lang w:eastAsia="zh-TW"/>
        </w:rPr>
        <w:t>“</w:t>
      </w:r>
    </w:p>
    <w:p w:rsidR="00330544" w:rsidRDefault="00330544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5B8" w:rsidRDefault="00AA65B8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65B8">
        <w:rPr>
          <w:rFonts w:ascii="Times New Roman" w:eastAsia="Times New Roman" w:hAnsi="Times New Roman" w:cs="Times New Roman"/>
          <w:b/>
          <w:sz w:val="28"/>
          <w:szCs w:val="28"/>
        </w:rPr>
        <w:t>§ 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65B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„Преходни и заключителни разпоредби“ </w:t>
      </w:r>
      <w:r w:rsidRPr="00AA65B8">
        <w:rPr>
          <w:rFonts w:ascii="Times New Roman" w:eastAsia="Times New Roman" w:hAnsi="Times New Roman" w:cs="Times New Roman"/>
          <w:b/>
          <w:sz w:val="28"/>
          <w:szCs w:val="28"/>
        </w:rPr>
        <w:t xml:space="preserve">се </w:t>
      </w:r>
      <w:r w:rsidR="003A2AD2">
        <w:rPr>
          <w:rFonts w:ascii="Times New Roman" w:eastAsia="Times New Roman" w:hAnsi="Times New Roman" w:cs="Times New Roman"/>
          <w:b/>
          <w:sz w:val="28"/>
          <w:szCs w:val="28"/>
        </w:rPr>
        <w:t>създава</w:t>
      </w:r>
      <w:r w:rsidRPr="00AA65B8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 § 8</w:t>
      </w:r>
      <w:r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AA65B8" w:rsidRDefault="00AA65B8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5B8" w:rsidRPr="00AA65B8" w:rsidRDefault="00AA65B8" w:rsidP="00AA65B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5B8">
        <w:rPr>
          <w:rFonts w:ascii="Times New Roman" w:eastAsia="Times New Roman" w:hAnsi="Times New Roman" w:cs="Times New Roman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 </w:t>
      </w:r>
      <w:r w:rsidRPr="00AA65B8">
        <w:rPr>
          <w:rFonts w:ascii="Times New Roman" w:eastAsia="Times New Roman" w:hAnsi="Times New Roman" w:cs="Times New Roman"/>
          <w:b/>
          <w:sz w:val="28"/>
          <w:szCs w:val="28"/>
        </w:rPr>
        <w:t>8. 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астоящата Н</w:t>
      </w:r>
      <w:r w:rsidRPr="00AA65B8">
        <w:rPr>
          <w:rFonts w:ascii="Times New Roman" w:eastAsia="Times New Roman" w:hAnsi="Times New Roman" w:cs="Times New Roman"/>
          <w:b/>
          <w:sz w:val="28"/>
          <w:szCs w:val="28"/>
        </w:rPr>
        <w:t>аредбата за изменение и допълнение на Наредба № 5 за определяне размера на местните данъци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територията на Община Иваново</w:t>
      </w:r>
      <w:r w:rsidRPr="00AA65B8">
        <w:rPr>
          <w:rFonts w:ascii="Times New Roman" w:eastAsia="Times New Roman" w:hAnsi="Times New Roman" w:cs="Times New Roman"/>
          <w:b/>
          <w:sz w:val="28"/>
          <w:szCs w:val="28"/>
        </w:rPr>
        <w:t xml:space="preserve"> влиза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сила от 1 януари 2021</w:t>
      </w:r>
      <w:r w:rsidRPr="00AA65B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Pr="00AA65B8">
        <w:rPr>
          <w:rFonts w:ascii="Times New Roman" w:eastAsia="Times New Roman" w:hAnsi="Times New Roman" w:cs="Times New Roman"/>
          <w:sz w:val="28"/>
          <w:szCs w:val="28"/>
        </w:rPr>
        <w:t>“</w:t>
      </w:r>
    </w:p>
    <w:p w:rsidR="00AA65B8" w:rsidRPr="00AA65B8" w:rsidRDefault="00AA65B8" w:rsidP="00C26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C26AC8" w:rsidRPr="00C26AC8" w:rsidRDefault="00C27A3A" w:rsidP="00C26A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ВНОСИТЕЛ: </w:t>
      </w:r>
      <w:r w:rsidR="00B71FE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/П/</w:t>
      </w:r>
      <w:bookmarkStart w:id="0" w:name="_GoBack"/>
      <w:bookmarkEnd w:id="0"/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26AC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ГЕОРГИ МИЛАНОВ</w:t>
      </w: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26AC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Кмет на Община Иваново,</w:t>
      </w: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26AC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Област Русе</w:t>
      </w:r>
    </w:p>
    <w:p w:rsidR="00C26AC8" w:rsidRPr="00C26AC8" w:rsidRDefault="00C26AC8" w:rsidP="00C26A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9B6DAD" w:rsidRDefault="009B6DAD" w:rsidP="009B6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9B6DAD" w:rsidRDefault="009B6DAD" w:rsidP="009B6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9B6DAD" w:rsidRPr="009B6DAD" w:rsidRDefault="009B6DAD" w:rsidP="009B6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sectPr w:rsidR="009B6DAD" w:rsidRPr="009B6DAD" w:rsidSect="007D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0E"/>
    <w:rsid w:val="00097417"/>
    <w:rsid w:val="000D323B"/>
    <w:rsid w:val="00102A45"/>
    <w:rsid w:val="00107CE1"/>
    <w:rsid w:val="00142E9D"/>
    <w:rsid w:val="001747D4"/>
    <w:rsid w:val="001810EB"/>
    <w:rsid w:val="001D6167"/>
    <w:rsid w:val="002F4C82"/>
    <w:rsid w:val="00330544"/>
    <w:rsid w:val="003328CA"/>
    <w:rsid w:val="0033442E"/>
    <w:rsid w:val="003A2AD2"/>
    <w:rsid w:val="00404833"/>
    <w:rsid w:val="00426778"/>
    <w:rsid w:val="00475E25"/>
    <w:rsid w:val="00516A8D"/>
    <w:rsid w:val="005367F0"/>
    <w:rsid w:val="005960E3"/>
    <w:rsid w:val="005D6E48"/>
    <w:rsid w:val="00644F0E"/>
    <w:rsid w:val="0067232C"/>
    <w:rsid w:val="0068603A"/>
    <w:rsid w:val="006A5D35"/>
    <w:rsid w:val="006A7156"/>
    <w:rsid w:val="00797E3F"/>
    <w:rsid w:val="008516E5"/>
    <w:rsid w:val="00875E40"/>
    <w:rsid w:val="00887BCF"/>
    <w:rsid w:val="008C056C"/>
    <w:rsid w:val="009B216E"/>
    <w:rsid w:val="009B6DAD"/>
    <w:rsid w:val="009D5164"/>
    <w:rsid w:val="00A23F6E"/>
    <w:rsid w:val="00AA65B8"/>
    <w:rsid w:val="00AE5D16"/>
    <w:rsid w:val="00AF783E"/>
    <w:rsid w:val="00B053FA"/>
    <w:rsid w:val="00B2486B"/>
    <w:rsid w:val="00B71FEF"/>
    <w:rsid w:val="00BA5D22"/>
    <w:rsid w:val="00BE292A"/>
    <w:rsid w:val="00C26AC8"/>
    <w:rsid w:val="00C27A3A"/>
    <w:rsid w:val="00C42D9F"/>
    <w:rsid w:val="00C61CAD"/>
    <w:rsid w:val="00C66EA4"/>
    <w:rsid w:val="00D279C9"/>
    <w:rsid w:val="00D46ED6"/>
    <w:rsid w:val="00DA7084"/>
    <w:rsid w:val="00DD76F5"/>
    <w:rsid w:val="00E21216"/>
    <w:rsid w:val="00E42EA1"/>
    <w:rsid w:val="00E62419"/>
    <w:rsid w:val="00E85259"/>
    <w:rsid w:val="00E8728F"/>
    <w:rsid w:val="00EA6163"/>
    <w:rsid w:val="00EC7B22"/>
    <w:rsid w:val="00F10FF6"/>
    <w:rsid w:val="00F13694"/>
    <w:rsid w:val="00F25F0C"/>
    <w:rsid w:val="00F55186"/>
    <w:rsid w:val="00F62EBD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0A5A25"/>
  <w15:docId w15:val="{F09C5346-4ED5-4599-978E-DCA6B419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33054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a3">
    <w:name w:val="Table Grid"/>
    <w:basedOn w:val="a1"/>
    <w:uiPriority w:val="39"/>
    <w:rsid w:val="00B0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A65B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B6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bshtina@ivanovo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00B09-E879-4B70-8EA6-49D6120B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2020-06-17T11:34:00Z</cp:lastPrinted>
  <dcterms:created xsi:type="dcterms:W3CDTF">2020-06-16T05:28:00Z</dcterms:created>
  <dcterms:modified xsi:type="dcterms:W3CDTF">2020-07-07T08:43:00Z</dcterms:modified>
</cp:coreProperties>
</file>