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83" w:rsidRPr="008E4E83" w:rsidRDefault="008E4E83" w:rsidP="008E4E83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  <w:r w:rsidRPr="008E4E83">
        <w:rPr>
          <w:rFonts w:ascii="Calibri" w:eastAsia="Calibri" w:hAnsi="Calibri" w:cs="Times New Roman"/>
          <w:noProof/>
          <w:lang w:eastAsia="bg-BG"/>
        </w:rPr>
        <w:drawing>
          <wp:inline distT="0" distB="0" distL="0" distR="0" wp14:anchorId="05FB01B6" wp14:editId="097D60F0">
            <wp:extent cx="6524625" cy="1133475"/>
            <wp:effectExtent l="0" t="0" r="9525" b="9525"/>
            <wp:docPr id="1" name="Картина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ина 1" descr="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E83" w:rsidRPr="008E4E83" w:rsidRDefault="008E4E83" w:rsidP="008E4E8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4"/>
          <w:lang w:val="ru-RU"/>
        </w:rPr>
      </w:pPr>
      <w:r w:rsidRPr="008E4E83">
        <w:rPr>
          <w:rFonts w:ascii="Times New Roman" w:eastAsia="Calibri" w:hAnsi="Times New Roman" w:cs="Times New Roman"/>
          <w:i/>
          <w:sz w:val="28"/>
          <w:szCs w:val="24"/>
        </w:rPr>
        <w:t>Европейски земеделски фонд за развитие на селските райони</w:t>
      </w:r>
    </w:p>
    <w:p w:rsidR="008E4E83" w:rsidRPr="008E4E83" w:rsidRDefault="008E4E83" w:rsidP="008E4E8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E4E83">
        <w:rPr>
          <w:rFonts w:ascii="Times New Roman" w:eastAsia="Calibri" w:hAnsi="Times New Roman" w:cs="Times New Roman"/>
          <w:b/>
          <w:i/>
          <w:sz w:val="28"/>
          <w:szCs w:val="24"/>
          <w:lang w:val="en-US"/>
        </w:rPr>
        <w:t>ЕВРОПА ИНВЕСТИРА В СЕЛСКИТЕ РАЙОНИ</w:t>
      </w:r>
    </w:p>
    <w:p w:rsidR="008E4E83" w:rsidRPr="008E4E83" w:rsidRDefault="008E4E83" w:rsidP="008E4E8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8E4E83">
        <w:rPr>
          <w:rFonts w:ascii="Times New Roman" w:eastAsia="Calibri" w:hAnsi="Times New Roman" w:cs="Times New Roman"/>
          <w:b/>
          <w:sz w:val="28"/>
        </w:rPr>
        <w:t>МИГ ЛИДЕР НА ТЕРИТОРИЯ ДВЕ МОГИЛИ И ИВАНОВО</w:t>
      </w:r>
    </w:p>
    <w:p w:rsidR="008E4E83" w:rsidRPr="008E4E83" w:rsidRDefault="008E4E83" w:rsidP="008E4E83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8E4E83" w:rsidRPr="008E4E83" w:rsidRDefault="008E4E83" w:rsidP="008E4E83">
      <w:pPr>
        <w:tabs>
          <w:tab w:val="left" w:pos="6225"/>
        </w:tabs>
        <w:spacing w:after="160" w:line="259" w:lineRule="auto"/>
        <w:jc w:val="right"/>
        <w:rPr>
          <w:rFonts w:ascii="Times New Roman" w:eastAsia="Calibri" w:hAnsi="Times New Roman" w:cs="Times New Roman"/>
          <w:i/>
          <w:sz w:val="24"/>
        </w:rPr>
      </w:pPr>
      <w:r w:rsidRPr="008E4E83">
        <w:rPr>
          <w:rFonts w:ascii="Calibri" w:eastAsia="Calibri" w:hAnsi="Calibri" w:cs="Times New Roman"/>
          <w:lang w:val="en-US"/>
        </w:rPr>
        <w:tab/>
      </w:r>
      <w:r w:rsidRPr="008E4E83">
        <w:rPr>
          <w:rFonts w:ascii="Times New Roman" w:eastAsia="Calibri" w:hAnsi="Times New Roman" w:cs="Times New Roman"/>
          <w:i/>
          <w:sz w:val="24"/>
        </w:rPr>
        <w:t>Приложение № 1</w:t>
      </w:r>
    </w:p>
    <w:p w:rsidR="008E4E83" w:rsidRPr="008E4E83" w:rsidRDefault="008E4E83" w:rsidP="008E4E83">
      <w:pPr>
        <w:tabs>
          <w:tab w:val="left" w:pos="622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8E4E83">
        <w:rPr>
          <w:rFonts w:ascii="Times New Roman" w:eastAsia="Calibri" w:hAnsi="Times New Roman" w:cs="Times New Roman"/>
          <w:b/>
          <w:sz w:val="24"/>
        </w:rPr>
        <w:t>ТЕХНИЧЕСКА СПЕЦИФИКАЦИЯ</w:t>
      </w:r>
    </w:p>
    <w:p w:rsidR="00222736" w:rsidRPr="00222736" w:rsidRDefault="008E4E83" w:rsidP="008E4E8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E4E83">
        <w:rPr>
          <w:rFonts w:ascii="Times New Roman" w:eastAsia="Calibri" w:hAnsi="Times New Roman" w:cs="Times New Roman"/>
          <w:sz w:val="24"/>
        </w:rPr>
        <w:t xml:space="preserve">за </w:t>
      </w:r>
      <w:r w:rsidRPr="008E4E83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Pr="008E4E83">
        <w:rPr>
          <w:rFonts w:ascii="Times New Roman" w:eastAsia="Calibri" w:hAnsi="Times New Roman" w:cs="Times New Roman"/>
          <w:b/>
          <w:sz w:val="24"/>
        </w:rPr>
        <w:t>Организиране на два фестивала в интерес на местната общност</w:t>
      </w:r>
      <w:r w:rsidRPr="008E4E83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r w:rsidRPr="008E4E83">
        <w:rPr>
          <w:rFonts w:ascii="Times New Roman" w:eastAsia="Calibri" w:hAnsi="Times New Roman" w:cs="Times New Roman"/>
          <w:sz w:val="24"/>
          <w:szCs w:val="24"/>
        </w:rPr>
        <w:t xml:space="preserve">относно подготовка на проектно предложение с наименование </w:t>
      </w:r>
      <w:r w:rsidRPr="008E4E83">
        <w:rPr>
          <w:rFonts w:ascii="Times New Roman" w:eastAsia="Calibri" w:hAnsi="Times New Roman" w:cs="Times New Roman"/>
          <w:b/>
          <w:sz w:val="24"/>
        </w:rPr>
        <w:t xml:space="preserve">„Популяризиране на местната идентичност чрез организиране фестивали,  публичност и закупуване на материални активи в интерес на местната общност на МИГ ЛИДЕР на територията на Две могили и Иваново“ </w:t>
      </w:r>
      <w:r w:rsidRPr="008E4E83">
        <w:rPr>
          <w:rFonts w:ascii="Times New Roman" w:eastAsia="Calibri" w:hAnsi="Times New Roman" w:cs="Times New Roman"/>
          <w:sz w:val="24"/>
        </w:rPr>
        <w:t xml:space="preserve">за кандидатстване за получаване на безвъзмездна финансова помощ по </w:t>
      </w:r>
      <w:r w:rsidRPr="008E4E83">
        <w:rPr>
          <w:rFonts w:ascii="Times New Roman" w:eastAsia="Calibri" w:hAnsi="Times New Roman" w:cs="Times New Roman"/>
          <w:sz w:val="24"/>
          <w:szCs w:val="24"/>
        </w:rPr>
        <w:t xml:space="preserve">Процедура BG06RDNP001-19.476 по </w:t>
      </w:r>
      <w:proofErr w:type="spellStart"/>
      <w:r w:rsidRPr="008E4E83">
        <w:rPr>
          <w:rFonts w:ascii="Times New Roman" w:eastAsia="Calibri" w:hAnsi="Times New Roman" w:cs="Times New Roman"/>
          <w:sz w:val="24"/>
          <w:szCs w:val="24"/>
        </w:rPr>
        <w:t>подмярка</w:t>
      </w:r>
      <w:proofErr w:type="spellEnd"/>
      <w:r w:rsidRPr="008E4E83">
        <w:rPr>
          <w:rFonts w:ascii="Times New Roman" w:eastAsia="Calibri" w:hAnsi="Times New Roman" w:cs="Times New Roman"/>
          <w:sz w:val="24"/>
          <w:szCs w:val="24"/>
        </w:rPr>
        <w:t xml:space="preserve"> 19.1 „Помощ за подготвителни дейности“ на мярка 19 „Водено от общностите местно развитие“ от Програмата за развитие на селските райони за периода 2014–2020 г. (ПРСР 2014–2020г.), </w:t>
      </w:r>
      <w:proofErr w:type="spellStart"/>
      <w:r w:rsidRPr="008E4E83">
        <w:rPr>
          <w:rFonts w:ascii="Times New Roman" w:eastAsia="Calibri" w:hAnsi="Times New Roman" w:cs="Times New Roman"/>
          <w:sz w:val="24"/>
          <w:szCs w:val="24"/>
        </w:rPr>
        <w:t>съфинансирана</w:t>
      </w:r>
      <w:proofErr w:type="spellEnd"/>
      <w:r w:rsidRPr="008E4E83">
        <w:rPr>
          <w:rFonts w:ascii="Times New Roman" w:eastAsia="Calibri" w:hAnsi="Times New Roman" w:cs="Times New Roman"/>
          <w:sz w:val="24"/>
          <w:szCs w:val="24"/>
        </w:rPr>
        <w:t xml:space="preserve"> от Европейския земеделски фонд за развитие на селските райони (ЕЗФРСР), наричана по-нататък „</w:t>
      </w:r>
      <w:proofErr w:type="spellStart"/>
      <w:r w:rsidRPr="008E4E83">
        <w:rPr>
          <w:rFonts w:ascii="Times New Roman" w:eastAsia="Calibri" w:hAnsi="Times New Roman" w:cs="Times New Roman"/>
          <w:sz w:val="24"/>
          <w:szCs w:val="24"/>
        </w:rPr>
        <w:t>Подмярка</w:t>
      </w:r>
      <w:proofErr w:type="spellEnd"/>
      <w:r w:rsidRPr="008E4E83">
        <w:rPr>
          <w:rFonts w:ascii="Times New Roman" w:eastAsia="Calibri" w:hAnsi="Times New Roman" w:cs="Times New Roman"/>
          <w:sz w:val="24"/>
          <w:szCs w:val="24"/>
        </w:rPr>
        <w:t xml:space="preserve"> 19.1</w:t>
      </w:r>
      <w:r w:rsidRPr="008E4E83">
        <w:rPr>
          <w:rFonts w:ascii="Times New Roman" w:eastAsia="Calibri" w:hAnsi="Times New Roman" w:cs="Times New Roman"/>
          <w:sz w:val="24"/>
          <w:szCs w:val="24"/>
          <w:shd w:val="clear" w:color="auto" w:fill="FEFEFE"/>
        </w:rPr>
        <w:t xml:space="preserve"> в частта на малките пилотни проекти</w:t>
      </w:r>
      <w:r w:rsidRPr="008E4E83">
        <w:rPr>
          <w:rFonts w:ascii="Times New Roman" w:eastAsia="Calibri" w:hAnsi="Times New Roman" w:cs="Times New Roman"/>
          <w:sz w:val="24"/>
          <w:szCs w:val="24"/>
        </w:rPr>
        <w:t>“.</w:t>
      </w:r>
      <w:bookmarkStart w:id="0" w:name="_GoBack"/>
      <w:bookmarkEnd w:id="0"/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39"/>
        <w:gridCol w:w="5245"/>
        <w:gridCol w:w="1134"/>
      </w:tblGrid>
      <w:tr w:rsidR="00222736" w:rsidRPr="008E4E83" w:rsidTr="00222736">
        <w:tc>
          <w:tcPr>
            <w:tcW w:w="846" w:type="dxa"/>
            <w:shd w:val="clear" w:color="auto" w:fill="FFEA93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</w:p>
        </w:tc>
        <w:tc>
          <w:tcPr>
            <w:tcW w:w="2239" w:type="dxa"/>
            <w:shd w:val="clear" w:color="auto" w:fill="FFEA93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Дейност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услуга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</w:p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5245" w:type="dxa"/>
            <w:shd w:val="clear" w:color="auto" w:fill="FFEA93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Технически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параметри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спецификация</w:t>
            </w:r>
            <w:proofErr w:type="spellEnd"/>
          </w:p>
        </w:tc>
        <w:tc>
          <w:tcPr>
            <w:tcW w:w="1134" w:type="dxa"/>
            <w:shd w:val="clear" w:color="auto" w:fill="FFEA93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Количе</w:t>
            </w:r>
            <w:proofErr w:type="spellEnd"/>
          </w:p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ство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</w:p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proofErr w:type="gram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бр</w:t>
            </w:r>
            <w:proofErr w:type="spellEnd"/>
            <w:proofErr w:type="gram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</w:tr>
      <w:tr w:rsidR="008E4E83" w:rsidRPr="008E4E83" w:rsidTr="005A7D2A">
        <w:tc>
          <w:tcPr>
            <w:tcW w:w="846" w:type="dxa"/>
            <w:vMerge w:val="restart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</w:tc>
        <w:tc>
          <w:tcPr>
            <w:tcW w:w="2239" w:type="dxa"/>
            <w:vMerge w:val="restart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Организиране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фестивали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 в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интерес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местната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общност</w:t>
            </w:r>
            <w:proofErr w:type="spellEnd"/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1.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Изготвяне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сценарий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програма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концепция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създаване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паметни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мероприятия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територията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общини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Две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могили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Иваново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2.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Изготвяне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списък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гостите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гости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журналисти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участници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програмата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3.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Изготвяне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изпращане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покани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лицата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т. 2,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поддържане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актуален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вид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списък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получените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потвърждения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4.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Осигуряване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минимум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10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участника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във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всяко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фестивалните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събития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–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водене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преговори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с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музикални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танцови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състави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аниматори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други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творци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в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областта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изкуството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културата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осигуряване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хонорарите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им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участник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счита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един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танцов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или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музикален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състав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един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производител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20</w:t>
            </w:r>
          </w:p>
        </w:tc>
      </w:tr>
      <w:tr w:rsidR="008E4E83" w:rsidRPr="008E4E83" w:rsidTr="005A7D2A">
        <w:trPr>
          <w:trHeight w:val="416"/>
        </w:trPr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5.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Привличане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минимум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20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местни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производители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участие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във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фермерски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пазари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всяко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фестивалните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събития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осигуряване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lastRenderedPageBreak/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хонорарите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им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lastRenderedPageBreak/>
              <w:t>40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6.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Монтаж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демонтаж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сцена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озвучителна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техника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осветление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шатри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/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павилиони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и/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или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еквивалентни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преместваеми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обекти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7.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Осигуряване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един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озвучител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един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модератор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двама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водещи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всяко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фестивалните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събития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8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8.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Осигуряване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кетъринг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(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сандвичи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минерална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вода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участниците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– 100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човека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400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9.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Организиране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коктейл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гостите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включващ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коктейлни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хапки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напитки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– 600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човека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10.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Заснемане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и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монтаж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видео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материал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провеждането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– 5-минутен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филм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за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всяко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събитията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8E4E83" w:rsidRPr="008E4E83" w:rsidTr="005A7D2A">
        <w:tc>
          <w:tcPr>
            <w:tcW w:w="846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Merge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11.Осигуряване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снимков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материал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от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провеждане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на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8E4E83">
              <w:rPr>
                <w:rFonts w:ascii="Times New Roman" w:eastAsia="Calibri" w:hAnsi="Times New Roman" w:cs="Times New Roman"/>
                <w:sz w:val="24"/>
              </w:rPr>
              <w:t>фестивалите</w:t>
            </w:r>
            <w:proofErr w:type="spellEnd"/>
            <w:r w:rsidRPr="008E4E8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134" w:type="dxa"/>
            <w:vAlign w:val="center"/>
          </w:tcPr>
          <w:p w:rsidR="008E4E83" w:rsidRPr="008E4E83" w:rsidRDefault="008E4E83" w:rsidP="008E4E8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 w:rsidRPr="008E4E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2</w:t>
            </w:r>
          </w:p>
        </w:tc>
      </w:tr>
      <w:tr w:rsidR="008E4E83" w:rsidRPr="008E4E83" w:rsidTr="005A7D2A">
        <w:tc>
          <w:tcPr>
            <w:tcW w:w="846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239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  <w:tc>
          <w:tcPr>
            <w:tcW w:w="1134" w:type="dxa"/>
          </w:tcPr>
          <w:p w:rsidR="008E4E83" w:rsidRPr="008E4E83" w:rsidRDefault="008E4E83" w:rsidP="008E4E83">
            <w:pPr>
              <w:tabs>
                <w:tab w:val="left" w:pos="6225"/>
              </w:tabs>
              <w:jc w:val="both"/>
              <w:rPr>
                <w:rFonts w:ascii="Times New Roman" w:eastAsia="Calibri" w:hAnsi="Times New Roman" w:cs="Times New Roman"/>
                <w:sz w:val="24"/>
                <w:highlight w:val="yellow"/>
              </w:rPr>
            </w:pPr>
          </w:p>
        </w:tc>
      </w:tr>
      <w:tr w:rsidR="008E4E83" w:rsidRPr="008E4E83" w:rsidTr="005A7D2A">
        <w:tc>
          <w:tcPr>
            <w:tcW w:w="846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2239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Времетраене</w:t>
            </w:r>
            <w:proofErr w:type="spellEnd"/>
          </w:p>
        </w:tc>
        <w:tc>
          <w:tcPr>
            <w:tcW w:w="5245" w:type="dxa"/>
            <w:vAlign w:val="center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2 (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два</w:t>
            </w:r>
            <w:proofErr w:type="spellEnd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 xml:space="preserve">) </w:t>
            </w:r>
            <w:proofErr w:type="spellStart"/>
            <w:r w:rsidRPr="008E4E83">
              <w:rPr>
                <w:rFonts w:ascii="Times New Roman" w:eastAsia="Calibri" w:hAnsi="Times New Roman" w:cs="Times New Roman"/>
                <w:b/>
                <w:sz w:val="24"/>
              </w:rPr>
              <w:t>дни</w:t>
            </w:r>
            <w:proofErr w:type="spellEnd"/>
          </w:p>
        </w:tc>
        <w:tc>
          <w:tcPr>
            <w:tcW w:w="1134" w:type="dxa"/>
          </w:tcPr>
          <w:p w:rsidR="008E4E83" w:rsidRPr="008E4E83" w:rsidRDefault="008E4E83" w:rsidP="008E4E83">
            <w:pPr>
              <w:tabs>
                <w:tab w:val="left" w:pos="62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8E4E83" w:rsidRPr="008E4E83" w:rsidRDefault="008E4E83" w:rsidP="008E4E83">
      <w:pPr>
        <w:tabs>
          <w:tab w:val="left" w:pos="6225"/>
        </w:tabs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B265DD" w:rsidRDefault="00B265DD"/>
    <w:sectPr w:rsidR="00B265DD" w:rsidSect="008E4E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BB4"/>
    <w:rsid w:val="00222736"/>
    <w:rsid w:val="008E4E83"/>
    <w:rsid w:val="00B265DD"/>
    <w:rsid w:val="00B30BB4"/>
    <w:rsid w:val="00F1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4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E4E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8E4E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E4E8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2021-03-25T06:55:00Z</dcterms:created>
  <dcterms:modified xsi:type="dcterms:W3CDTF">2021-03-25T07:11:00Z</dcterms:modified>
</cp:coreProperties>
</file>